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1D8" w:rsidRDefault="00B1523F" w:rsidP="00E371D8">
      <w:r>
        <w:rPr>
          <w:noProof/>
        </w:rPr>
        <w:drawing>
          <wp:inline distT="0" distB="0" distL="0" distR="0" wp14:anchorId="416E1EC5" wp14:editId="389F3838">
            <wp:extent cx="5747385" cy="2909570"/>
            <wp:effectExtent l="0" t="0" r="571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7385" cy="2909570"/>
                    </a:xfrm>
                    <a:prstGeom prst="rect">
                      <a:avLst/>
                    </a:prstGeom>
                    <a:noFill/>
                    <a:ln>
                      <a:noFill/>
                    </a:ln>
                  </pic:spPr>
                </pic:pic>
              </a:graphicData>
            </a:graphic>
          </wp:inline>
        </w:drawing>
      </w:r>
    </w:p>
    <w:p w:rsidR="00B1523F" w:rsidRDefault="00B1523F" w:rsidP="00B1523F">
      <w:pPr>
        <w:pStyle w:val="Titre1"/>
        <w:rPr>
          <w:rStyle w:val="fontstyle01"/>
          <w:rFonts w:asciiTheme="majorHAnsi" w:hAnsiTheme="majorHAnsi"/>
          <w:b/>
          <w:bCs w:val="0"/>
          <w:color w:val="385623" w:themeColor="accent6" w:themeShade="80"/>
          <w:sz w:val="28"/>
          <w:szCs w:val="32"/>
        </w:rPr>
      </w:pPr>
      <w:r w:rsidRPr="00B1523F">
        <w:rPr>
          <w:rStyle w:val="fontstyle01"/>
          <w:rFonts w:asciiTheme="majorHAnsi" w:hAnsiTheme="majorHAnsi"/>
          <w:b/>
          <w:bCs w:val="0"/>
          <w:color w:val="385623" w:themeColor="accent6" w:themeShade="80"/>
          <w:sz w:val="28"/>
          <w:szCs w:val="32"/>
        </w:rPr>
        <w:t>Thème 1 : Qu’est-ce qu’un Datacenter, ou centre de</w:t>
      </w:r>
      <w:r>
        <w:t xml:space="preserve"> </w:t>
      </w:r>
      <w:r w:rsidRPr="00B1523F">
        <w:rPr>
          <w:rStyle w:val="fontstyle01"/>
          <w:rFonts w:asciiTheme="majorHAnsi" w:hAnsiTheme="majorHAnsi"/>
          <w:b/>
          <w:bCs w:val="0"/>
          <w:color w:val="385623" w:themeColor="accent6" w:themeShade="80"/>
          <w:sz w:val="28"/>
          <w:szCs w:val="32"/>
        </w:rPr>
        <w:t>traitement de données ?</w:t>
      </w:r>
    </w:p>
    <w:p w:rsidR="00E739A6" w:rsidRDefault="00E739A6" w:rsidP="00E739A6">
      <w:pPr>
        <w:pStyle w:val="Titre3"/>
      </w:pPr>
      <w:r>
        <w:t>Metis</w:t>
      </w:r>
    </w:p>
    <w:p w:rsidR="00E739A6" w:rsidRPr="00E739A6" w:rsidRDefault="00E739A6" w:rsidP="00E739A6">
      <w:r w:rsidRPr="00E739A6">
        <w:rPr>
          <w:noProof/>
        </w:rPr>
        <w:drawing>
          <wp:inline distT="0" distB="0" distL="0" distR="0" wp14:anchorId="1B41B58E" wp14:editId="1CC9E4E0">
            <wp:extent cx="4887007" cy="933580"/>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87007" cy="933580"/>
                    </a:xfrm>
                    <a:prstGeom prst="rect">
                      <a:avLst/>
                    </a:prstGeom>
                  </pic:spPr>
                </pic:pic>
              </a:graphicData>
            </a:graphic>
          </wp:inline>
        </w:drawing>
      </w:r>
    </w:p>
    <w:p w:rsidR="00B1523F" w:rsidRDefault="00B1523F" w:rsidP="00B1523F">
      <w:pPr>
        <w:pStyle w:val="Titre2"/>
      </w:pPr>
      <w:r>
        <w:t>Définition personnelle</w:t>
      </w:r>
    </w:p>
    <w:p w:rsidR="00B1523F" w:rsidRPr="00B1523F" w:rsidRDefault="00B1523F" w:rsidP="00B1523F">
      <w:pPr>
        <w:pStyle w:val="NormalWeb"/>
        <w:shd w:val="clear" w:color="auto" w:fill="FFFFFF"/>
        <w:spacing w:before="0" w:beforeAutospacing="0" w:after="360" w:afterAutospacing="0"/>
        <w:rPr>
          <w:rFonts w:asciiTheme="minorHAnsi" w:hAnsiTheme="minorHAnsi" w:cstheme="minorHAnsi"/>
          <w:color w:val="333333"/>
          <w:sz w:val="22"/>
          <w:szCs w:val="22"/>
        </w:rPr>
      </w:pPr>
      <w:r w:rsidRPr="00B1523F">
        <w:rPr>
          <w:rFonts w:asciiTheme="minorHAnsi" w:hAnsiTheme="minorHAnsi" w:cstheme="minorHAnsi"/>
          <w:color w:val="333333"/>
          <w:sz w:val="22"/>
          <w:szCs w:val="22"/>
        </w:rPr>
        <w:t>Un data center (ou data centre, ou encore centre de données en Français) est un endroit physique sécurisé où sont réunis un ensemble d’éléments comme du matériel informatique (ordinateurs, serveurs, unités de stockage…) des équipements réseaux et de télécommunication, des systèmes de contrôles et de sécurité (climatisation, incendie…).</w:t>
      </w:r>
    </w:p>
    <w:p w:rsidR="00B1523F" w:rsidRPr="00B1523F" w:rsidRDefault="00B1523F" w:rsidP="00B1523F">
      <w:pPr>
        <w:pStyle w:val="NormalWeb"/>
        <w:shd w:val="clear" w:color="auto" w:fill="FFFFFF"/>
        <w:spacing w:before="0" w:beforeAutospacing="0" w:after="360" w:afterAutospacing="0"/>
        <w:rPr>
          <w:rFonts w:asciiTheme="minorHAnsi" w:hAnsiTheme="minorHAnsi" w:cstheme="minorHAnsi"/>
          <w:color w:val="333333"/>
          <w:sz w:val="22"/>
          <w:szCs w:val="22"/>
        </w:rPr>
      </w:pPr>
      <w:r w:rsidRPr="00B1523F">
        <w:rPr>
          <w:rStyle w:val="lev"/>
          <w:rFonts w:asciiTheme="minorHAnsi" w:hAnsiTheme="minorHAnsi" w:cstheme="minorHAnsi"/>
          <w:color w:val="333333"/>
          <w:sz w:val="22"/>
          <w:szCs w:val="22"/>
        </w:rPr>
        <w:t>Tous les éléments d’un data center fonctionnent ensemble et permettant le stockage et le traitement de données informatiques (les datas).</w:t>
      </w:r>
      <w:r w:rsidRPr="00B1523F">
        <w:rPr>
          <w:rFonts w:asciiTheme="minorHAnsi" w:hAnsiTheme="minorHAnsi" w:cstheme="minorHAnsi"/>
          <w:color w:val="333333"/>
          <w:sz w:val="22"/>
          <w:szCs w:val="22"/>
        </w:rPr>
        <w:t> La taille d’un data center peut varier d’une simple pièce à un immeuble de plusieurs étages, et va permettre à une entreprise ou une administration de fonctionner à l’ère d’Internet et du cloud.</w:t>
      </w:r>
    </w:p>
    <w:p w:rsidR="00B1523F" w:rsidRPr="00B1523F" w:rsidRDefault="00B1523F" w:rsidP="00B1523F">
      <w:pPr>
        <w:pStyle w:val="Titre2"/>
        <w:rPr>
          <w:rStyle w:val="fontstyle01"/>
          <w:rFonts w:asciiTheme="majorHAnsi" w:hAnsiTheme="majorHAnsi"/>
          <w:b/>
          <w:bCs w:val="0"/>
          <w:color w:val="70AD47" w:themeColor="accent6"/>
          <w:sz w:val="24"/>
          <w:szCs w:val="26"/>
        </w:rPr>
      </w:pPr>
      <w:r w:rsidRPr="00B1523F">
        <w:rPr>
          <w:rStyle w:val="fontstyle01"/>
          <w:rFonts w:asciiTheme="majorHAnsi" w:hAnsiTheme="majorHAnsi"/>
          <w:b/>
          <w:bCs w:val="0"/>
          <w:color w:val="70AD47" w:themeColor="accent6"/>
          <w:sz w:val="24"/>
          <w:szCs w:val="26"/>
        </w:rPr>
        <w:t>Wikipédia</w:t>
      </w:r>
    </w:p>
    <w:p w:rsidR="00B1523F" w:rsidRDefault="00B1523F" w:rsidP="00B1523F">
      <w:pPr>
        <w:rPr>
          <w:rFonts w:ascii="Arial" w:hAnsi="Arial" w:cs="Arial"/>
          <w:color w:val="222222"/>
          <w:sz w:val="21"/>
          <w:szCs w:val="21"/>
          <w:shd w:val="clear" w:color="auto" w:fill="FFFFFF"/>
        </w:rPr>
      </w:pPr>
      <w:r>
        <w:rPr>
          <w:rFonts w:ascii="Arial" w:hAnsi="Arial" w:cs="Arial"/>
          <w:color w:val="222222"/>
          <w:sz w:val="21"/>
          <w:szCs w:val="21"/>
          <w:shd w:val="clear" w:color="auto" w:fill="FFFFFF"/>
        </w:rPr>
        <w:t>Un </w:t>
      </w:r>
      <w:r>
        <w:rPr>
          <w:rFonts w:ascii="Arial" w:hAnsi="Arial" w:cs="Arial"/>
          <w:b/>
          <w:bCs/>
          <w:color w:val="222222"/>
          <w:sz w:val="21"/>
          <w:szCs w:val="21"/>
          <w:shd w:val="clear" w:color="auto" w:fill="FFFFFF"/>
        </w:rPr>
        <w:t>centre de données</w:t>
      </w:r>
      <w:r>
        <w:rPr>
          <w:rFonts w:ascii="Arial" w:hAnsi="Arial" w:cs="Arial"/>
          <w:color w:val="222222"/>
          <w:sz w:val="21"/>
          <w:szCs w:val="21"/>
          <w:shd w:val="clear" w:color="auto" w:fill="FFFFFF"/>
        </w:rPr>
        <w:t> (en anglais </w:t>
      </w:r>
      <w:r w:rsidRPr="001B7CE2">
        <w:rPr>
          <w:rStyle w:val="lang-en-us"/>
          <w:rFonts w:ascii="Arial" w:hAnsi="Arial" w:cs="Arial"/>
          <w:i/>
          <w:iCs/>
          <w:color w:val="222222"/>
          <w:sz w:val="21"/>
          <w:szCs w:val="21"/>
          <w:shd w:val="clear" w:color="auto" w:fill="FFFFFF"/>
        </w:rPr>
        <w:t>data center</w:t>
      </w:r>
      <w:r>
        <w:rPr>
          <w:rFonts w:ascii="Arial" w:hAnsi="Arial" w:cs="Arial"/>
          <w:color w:val="222222"/>
          <w:sz w:val="21"/>
          <w:szCs w:val="21"/>
          <w:shd w:val="clear" w:color="auto" w:fill="FFFFFF"/>
        </w:rPr>
        <w:t> ou </w:t>
      </w:r>
      <w:r w:rsidRPr="001B7CE2">
        <w:rPr>
          <w:rStyle w:val="lang-en-gb"/>
          <w:rFonts w:ascii="Arial" w:hAnsi="Arial" w:cs="Arial"/>
          <w:i/>
          <w:iCs/>
          <w:color w:val="222222"/>
          <w:sz w:val="21"/>
          <w:szCs w:val="21"/>
          <w:shd w:val="clear" w:color="auto" w:fill="FFFFFF"/>
        </w:rPr>
        <w:t>data centre</w:t>
      </w:r>
      <w:r>
        <w:rPr>
          <w:rFonts w:ascii="Arial" w:hAnsi="Arial" w:cs="Arial"/>
          <w:color w:val="222222"/>
          <w:sz w:val="21"/>
          <w:szCs w:val="21"/>
          <w:shd w:val="clear" w:color="auto" w:fill="FFFFFF"/>
        </w:rPr>
        <w:t>), ou </w:t>
      </w:r>
      <w:r>
        <w:rPr>
          <w:rFonts w:ascii="Arial" w:hAnsi="Arial" w:cs="Arial"/>
          <w:b/>
          <w:bCs/>
          <w:color w:val="222222"/>
          <w:sz w:val="21"/>
          <w:szCs w:val="21"/>
          <w:shd w:val="clear" w:color="auto" w:fill="FFFFFF"/>
        </w:rPr>
        <w:t>centre informatique</w:t>
      </w:r>
      <w:hyperlink r:id="rId10" w:anchor="cite_note-1" w:history="1">
        <w:r>
          <w:rPr>
            <w:rStyle w:val="Lienhypertexte"/>
            <w:rFonts w:ascii="Arial" w:hAnsi="Arial" w:cs="Arial"/>
            <w:color w:val="0B0080"/>
            <w:sz w:val="19"/>
            <w:szCs w:val="19"/>
            <w:shd w:val="clear" w:color="auto" w:fill="FFFFFF"/>
            <w:vertAlign w:val="superscript"/>
          </w:rPr>
          <w:t>1</w:t>
        </w:r>
      </w:hyperlink>
      <w:r>
        <w:rPr>
          <w:rFonts w:ascii="Arial" w:hAnsi="Arial" w:cs="Arial"/>
          <w:color w:val="222222"/>
          <w:sz w:val="21"/>
          <w:szCs w:val="21"/>
          <w:shd w:val="clear" w:color="auto" w:fill="FFFFFF"/>
        </w:rPr>
        <w:t> est un lieu (et un service) regroupant des équipements constituants du </w:t>
      </w:r>
      <w:hyperlink r:id="rId11" w:tooltip="Système d'information" w:history="1">
        <w:r>
          <w:rPr>
            <w:rStyle w:val="Lienhypertexte"/>
            <w:rFonts w:ascii="Arial" w:hAnsi="Arial" w:cs="Arial"/>
            <w:color w:val="0B0080"/>
            <w:sz w:val="21"/>
            <w:szCs w:val="21"/>
            <w:shd w:val="clear" w:color="auto" w:fill="FFFFFF"/>
          </w:rPr>
          <w:t>système d'information</w:t>
        </w:r>
      </w:hyperlink>
      <w:r>
        <w:rPr>
          <w:rFonts w:ascii="Arial" w:hAnsi="Arial" w:cs="Arial"/>
          <w:color w:val="222222"/>
          <w:sz w:val="21"/>
          <w:szCs w:val="21"/>
          <w:shd w:val="clear" w:color="auto" w:fill="FFFFFF"/>
        </w:rPr>
        <w:t> d'une ou plusieurs entreprise(s) (</w:t>
      </w:r>
      <w:hyperlink r:id="rId12" w:tooltip="Ordinateur central" w:history="1">
        <w:r>
          <w:rPr>
            <w:rStyle w:val="Lienhypertexte"/>
            <w:rFonts w:ascii="Arial" w:hAnsi="Arial" w:cs="Arial"/>
            <w:color w:val="0B0080"/>
            <w:sz w:val="21"/>
            <w:szCs w:val="21"/>
            <w:shd w:val="clear" w:color="auto" w:fill="FFFFFF"/>
          </w:rPr>
          <w:t>ordinateurs centraux</w:t>
        </w:r>
      </w:hyperlink>
      <w:r>
        <w:rPr>
          <w:rFonts w:ascii="Arial" w:hAnsi="Arial" w:cs="Arial"/>
          <w:color w:val="222222"/>
          <w:sz w:val="21"/>
          <w:szCs w:val="21"/>
          <w:shd w:val="clear" w:color="auto" w:fill="FFFFFF"/>
        </w:rPr>
        <w:t>, serveurs, </w:t>
      </w:r>
      <w:hyperlink r:id="rId13" w:tooltip="Baie de stockage" w:history="1">
        <w:r>
          <w:rPr>
            <w:rStyle w:val="Lienhypertexte"/>
            <w:rFonts w:ascii="Arial" w:hAnsi="Arial" w:cs="Arial"/>
            <w:color w:val="0B0080"/>
            <w:sz w:val="21"/>
            <w:szCs w:val="21"/>
            <w:shd w:val="clear" w:color="auto" w:fill="FFFFFF"/>
          </w:rPr>
          <w:t>baies de stockage</w:t>
        </w:r>
      </w:hyperlink>
      <w:r>
        <w:rPr>
          <w:rFonts w:ascii="Arial" w:hAnsi="Arial" w:cs="Arial"/>
          <w:color w:val="222222"/>
          <w:sz w:val="21"/>
          <w:szCs w:val="21"/>
          <w:shd w:val="clear" w:color="auto" w:fill="FFFFFF"/>
        </w:rPr>
        <w:t>, équipements réseaux et de télécommunications, </w:t>
      </w:r>
      <w:r>
        <w:t>etc.</w:t>
      </w:r>
      <w:r>
        <w:rPr>
          <w:rFonts w:ascii="Arial" w:hAnsi="Arial" w:cs="Arial"/>
          <w:color w:val="222222"/>
          <w:sz w:val="21"/>
          <w:szCs w:val="21"/>
          <w:shd w:val="clear" w:color="auto" w:fill="FFFFFF"/>
        </w:rPr>
        <w:t>). Il peut être interne et/ou externe à l’entreprise, exploité ou non avec le soutien de prestataires</w:t>
      </w:r>
      <w:hyperlink r:id="rId14" w:anchor="cite_note-2" w:history="1">
        <w:r>
          <w:rPr>
            <w:rStyle w:val="Lienhypertexte"/>
            <w:rFonts w:ascii="Arial" w:hAnsi="Arial" w:cs="Arial"/>
            <w:color w:val="0B0080"/>
            <w:sz w:val="19"/>
            <w:szCs w:val="19"/>
            <w:shd w:val="clear" w:color="auto" w:fill="FFFFFF"/>
            <w:vertAlign w:val="superscript"/>
          </w:rPr>
          <w:t>2</w:t>
        </w:r>
      </w:hyperlink>
      <w:r>
        <w:rPr>
          <w:rFonts w:ascii="Arial" w:hAnsi="Arial" w:cs="Arial"/>
          <w:color w:val="222222"/>
          <w:sz w:val="21"/>
          <w:szCs w:val="21"/>
          <w:shd w:val="clear" w:color="auto" w:fill="FFFFFF"/>
        </w:rPr>
        <w:t>. Il fournit des services </w:t>
      </w:r>
      <w:hyperlink r:id="rId15" w:tooltip="Informatique" w:history="1">
        <w:r>
          <w:rPr>
            <w:rStyle w:val="Lienhypertexte"/>
            <w:rFonts w:ascii="Arial" w:hAnsi="Arial" w:cs="Arial"/>
            <w:color w:val="0B0080"/>
            <w:sz w:val="21"/>
            <w:szCs w:val="21"/>
            <w:shd w:val="clear" w:color="auto" w:fill="FFFFFF"/>
          </w:rPr>
          <w:t>informatiques</w:t>
        </w:r>
      </w:hyperlink>
      <w:r>
        <w:rPr>
          <w:rFonts w:ascii="Arial" w:hAnsi="Arial" w:cs="Arial"/>
          <w:color w:val="222222"/>
          <w:sz w:val="21"/>
          <w:szCs w:val="21"/>
          <w:shd w:val="clear" w:color="auto" w:fill="FFFFFF"/>
        </w:rPr>
        <w:t> en environnement contrôlé (</w:t>
      </w:r>
      <w:hyperlink r:id="rId16" w:tooltip="Climatisation" w:history="1">
        <w:r>
          <w:rPr>
            <w:rStyle w:val="Lienhypertexte"/>
            <w:rFonts w:ascii="Arial" w:hAnsi="Arial" w:cs="Arial"/>
            <w:color w:val="0B0080"/>
            <w:sz w:val="21"/>
            <w:szCs w:val="21"/>
            <w:shd w:val="clear" w:color="auto" w:fill="FFFFFF"/>
          </w:rPr>
          <w:t>climatisation</w:t>
        </w:r>
      </w:hyperlink>
      <w:r>
        <w:rPr>
          <w:rFonts w:ascii="Arial" w:hAnsi="Arial" w:cs="Arial"/>
          <w:color w:val="222222"/>
          <w:sz w:val="21"/>
          <w:szCs w:val="21"/>
          <w:shd w:val="clear" w:color="auto" w:fill="FFFFFF"/>
        </w:rPr>
        <w:t>) et sécurité (système anti-</w:t>
      </w:r>
      <w:hyperlink r:id="rId17" w:tooltip="Incendie" w:history="1">
        <w:r>
          <w:rPr>
            <w:rStyle w:val="Lienhypertexte"/>
            <w:rFonts w:ascii="Arial" w:hAnsi="Arial" w:cs="Arial"/>
            <w:color w:val="0B0080"/>
            <w:sz w:val="21"/>
            <w:szCs w:val="21"/>
            <w:shd w:val="clear" w:color="auto" w:fill="FFFFFF"/>
          </w:rPr>
          <w:t>incendie</w:t>
        </w:r>
      </w:hyperlink>
      <w:r>
        <w:rPr>
          <w:rFonts w:ascii="Arial" w:hAnsi="Arial" w:cs="Arial"/>
          <w:color w:val="222222"/>
          <w:sz w:val="21"/>
          <w:szCs w:val="21"/>
          <w:shd w:val="clear" w:color="auto" w:fill="FFFFFF"/>
        </w:rPr>
        <w:t>, contre le vol et l'intrusion, </w:t>
      </w:r>
      <w:r>
        <w:t>etc.</w:t>
      </w:r>
      <w:r>
        <w:rPr>
          <w:rFonts w:ascii="Arial" w:hAnsi="Arial" w:cs="Arial"/>
          <w:color w:val="222222"/>
          <w:sz w:val="21"/>
          <w:szCs w:val="21"/>
          <w:shd w:val="clear" w:color="auto" w:fill="FFFFFF"/>
        </w:rPr>
        <w:t>), avec une alimentation d'urgence et </w:t>
      </w:r>
      <w:hyperlink r:id="rId18" w:tooltip="Redondance (centre de données)" w:history="1">
        <w:r>
          <w:rPr>
            <w:rStyle w:val="Lienhypertexte"/>
            <w:rFonts w:ascii="Arial" w:hAnsi="Arial" w:cs="Arial"/>
            <w:color w:val="0B0080"/>
            <w:sz w:val="21"/>
            <w:szCs w:val="21"/>
            <w:shd w:val="clear" w:color="auto" w:fill="FFFFFF"/>
          </w:rPr>
          <w:t>redondante</w:t>
        </w:r>
      </w:hyperlink>
      <w:r>
        <w:rPr>
          <w:rFonts w:ascii="Arial" w:hAnsi="Arial" w:cs="Arial"/>
          <w:color w:val="222222"/>
          <w:sz w:val="21"/>
          <w:szCs w:val="21"/>
          <w:shd w:val="clear" w:color="auto" w:fill="FFFFFF"/>
        </w:rPr>
        <w:t>.</w:t>
      </w:r>
    </w:p>
    <w:p w:rsidR="00B1523F" w:rsidRDefault="00B1523F" w:rsidP="00B1523F">
      <w:pPr>
        <w:pStyle w:val="Titre2"/>
      </w:pPr>
      <w:r>
        <w:t>Fonction</w:t>
      </w:r>
    </w:p>
    <w:p w:rsidR="00B1523F" w:rsidRDefault="00B1523F" w:rsidP="00B1523F">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Comme son nom l'indique, le centre de données sert surtout à stocker et à traiter de manière centralisée des informations (</w:t>
      </w:r>
      <w:hyperlink r:id="rId19" w:tooltip="Data" w:history="1">
        <w:r>
          <w:rPr>
            <w:rStyle w:val="Lienhypertexte"/>
            <w:rFonts w:ascii="Arial" w:hAnsi="Arial" w:cs="Arial"/>
            <w:i/>
            <w:iCs/>
            <w:color w:val="0B0080"/>
            <w:sz w:val="21"/>
            <w:szCs w:val="21"/>
          </w:rPr>
          <w:t>datas</w:t>
        </w:r>
      </w:hyperlink>
      <w:r>
        <w:rPr>
          <w:rFonts w:ascii="Arial" w:hAnsi="Arial" w:cs="Arial"/>
          <w:color w:val="222222"/>
          <w:sz w:val="21"/>
          <w:szCs w:val="21"/>
        </w:rPr>
        <w:t>) pour le compte d'entreprises, d'administrations et de particuliers. Par exemple, une </w:t>
      </w:r>
      <w:hyperlink r:id="rId20" w:tooltip="Banque" w:history="1">
        <w:r>
          <w:rPr>
            <w:rStyle w:val="Lienhypertexte"/>
            <w:rFonts w:ascii="Arial" w:hAnsi="Arial" w:cs="Arial"/>
            <w:color w:val="0B0080"/>
            <w:sz w:val="21"/>
            <w:szCs w:val="21"/>
          </w:rPr>
          <w:t>banque</w:t>
        </w:r>
      </w:hyperlink>
      <w:r>
        <w:rPr>
          <w:rFonts w:ascii="Arial" w:hAnsi="Arial" w:cs="Arial"/>
          <w:color w:val="222222"/>
          <w:sz w:val="21"/>
          <w:szCs w:val="21"/>
        </w:rPr>
        <w:t xml:space="preserve"> peut y recourir pour stocker des informations sur ses </w:t>
      </w:r>
      <w:r>
        <w:rPr>
          <w:rFonts w:ascii="Arial" w:hAnsi="Arial" w:cs="Arial"/>
          <w:color w:val="222222"/>
          <w:sz w:val="21"/>
          <w:szCs w:val="21"/>
        </w:rPr>
        <w:lastRenderedPageBreak/>
        <w:t>clients et ses ressources. Presque toutes les </w:t>
      </w:r>
      <w:hyperlink r:id="rId21" w:tooltip="Entreprise" w:history="1">
        <w:r>
          <w:rPr>
            <w:rStyle w:val="Lienhypertexte"/>
            <w:rFonts w:ascii="Arial" w:hAnsi="Arial" w:cs="Arial"/>
            <w:color w:val="0B0080"/>
            <w:sz w:val="21"/>
            <w:szCs w:val="21"/>
          </w:rPr>
          <w:t>entreprises</w:t>
        </w:r>
      </w:hyperlink>
      <w:r>
        <w:rPr>
          <w:rFonts w:ascii="Arial" w:hAnsi="Arial" w:cs="Arial"/>
          <w:color w:val="222222"/>
          <w:sz w:val="21"/>
          <w:szCs w:val="21"/>
        </w:rPr>
        <w:t> de taille moyenne en utilisent et les grandes entreprises en utilisent souvent plusieurs.</w:t>
      </w:r>
    </w:p>
    <w:p w:rsidR="00B1523F" w:rsidRDefault="00B1523F" w:rsidP="00B1523F">
      <w:pPr>
        <w:pStyle w:val="NormalWeb"/>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Les données et </w:t>
      </w:r>
      <w:hyperlink r:id="rId22" w:tooltip="Base de données" w:history="1">
        <w:r>
          <w:rPr>
            <w:rStyle w:val="Lienhypertexte"/>
            <w:rFonts w:ascii="Arial" w:hAnsi="Arial" w:cs="Arial"/>
            <w:color w:val="0B0080"/>
            <w:sz w:val="21"/>
            <w:szCs w:val="21"/>
          </w:rPr>
          <w:t>bases de données</w:t>
        </w:r>
      </w:hyperlink>
      <w:r>
        <w:rPr>
          <w:rFonts w:ascii="Arial" w:hAnsi="Arial" w:cs="Arial"/>
          <w:color w:val="222222"/>
          <w:sz w:val="21"/>
          <w:szCs w:val="21"/>
        </w:rPr>
        <w:t> sont souvent devenues cruciales pour le fonctionnement des entreprises et de la société en général. Un nombre croissant de données sont dites </w:t>
      </w:r>
      <w:hyperlink r:id="rId23" w:tooltip="Données personnelles" w:history="1">
        <w:r>
          <w:rPr>
            <w:rStyle w:val="Lienhypertexte"/>
            <w:rFonts w:ascii="Arial" w:hAnsi="Arial" w:cs="Arial"/>
            <w:color w:val="0B0080"/>
            <w:sz w:val="21"/>
            <w:szCs w:val="21"/>
          </w:rPr>
          <w:t>personnelles</w:t>
        </w:r>
      </w:hyperlink>
      <w:r>
        <w:rPr>
          <w:rFonts w:ascii="Arial" w:hAnsi="Arial" w:cs="Arial"/>
          <w:color w:val="222222"/>
          <w:sz w:val="21"/>
          <w:szCs w:val="21"/>
        </w:rPr>
        <w:t> ou </w:t>
      </w:r>
      <w:hyperlink r:id="rId24" w:tooltip="Données sensibles" w:history="1">
        <w:r>
          <w:rPr>
            <w:rStyle w:val="Lienhypertexte"/>
            <w:rFonts w:ascii="Arial" w:hAnsi="Arial" w:cs="Arial"/>
            <w:color w:val="0B0080"/>
            <w:sz w:val="21"/>
            <w:szCs w:val="21"/>
          </w:rPr>
          <w:t>sensibles</w:t>
        </w:r>
      </w:hyperlink>
      <w:r>
        <w:rPr>
          <w:rFonts w:ascii="Arial" w:hAnsi="Arial" w:cs="Arial"/>
          <w:color w:val="222222"/>
          <w:sz w:val="21"/>
          <w:szCs w:val="21"/>
        </w:rPr>
        <w:t>, raison pour laquelle de hauts niveaux de sécurité et de service sont demandés aux centres de données, pour assurer l'intégrité et le fonctionnement de leurs appareils et éviter le </w:t>
      </w:r>
      <w:hyperlink r:id="rId25" w:tooltip="Déni de service" w:history="1">
        <w:r>
          <w:rPr>
            <w:rStyle w:val="Lienhypertexte"/>
            <w:rFonts w:ascii="Arial" w:hAnsi="Arial" w:cs="Arial"/>
            <w:color w:val="0B0080"/>
            <w:sz w:val="21"/>
            <w:szCs w:val="21"/>
          </w:rPr>
          <w:t>déni de service</w:t>
        </w:r>
      </w:hyperlink>
      <w:r>
        <w:rPr>
          <w:rFonts w:ascii="Arial" w:hAnsi="Arial" w:cs="Arial"/>
          <w:color w:val="222222"/>
          <w:sz w:val="21"/>
          <w:szCs w:val="21"/>
        </w:rPr>
        <w:t>.</w:t>
      </w:r>
    </w:p>
    <w:p w:rsidR="00B1523F" w:rsidRDefault="00B1523F" w:rsidP="00B1523F">
      <w:pPr>
        <w:pStyle w:val="Titre2"/>
      </w:pPr>
      <w:r>
        <w:t>Type de datacenter</w:t>
      </w:r>
    </w:p>
    <w:p w:rsidR="00045EF0" w:rsidRDefault="00045EF0" w:rsidP="00045EF0">
      <w:pPr>
        <w:pStyle w:val="Titre4"/>
        <w:rPr>
          <w:rFonts w:ascii="Arial" w:hAnsi="Arial" w:cs="Arial"/>
          <w:color w:val="222222"/>
          <w:sz w:val="21"/>
          <w:szCs w:val="21"/>
          <w:shd w:val="clear" w:color="auto" w:fill="FFFFFF"/>
        </w:rPr>
      </w:pPr>
      <w:r>
        <w:t>Edge :</w:t>
      </w:r>
      <w:r w:rsidRPr="00045EF0">
        <w:rPr>
          <w:rFonts w:ascii="Arial" w:hAnsi="Arial" w:cs="Arial"/>
          <w:color w:val="222222"/>
          <w:sz w:val="21"/>
          <w:szCs w:val="21"/>
          <w:shd w:val="clear" w:color="auto" w:fill="FFFFFF"/>
        </w:rPr>
        <w:t xml:space="preserve"> </w:t>
      </w:r>
    </w:p>
    <w:p w:rsidR="00045EF0" w:rsidRPr="00045EF0" w:rsidRDefault="00045EF0" w:rsidP="00045EF0">
      <w:r>
        <w:rPr>
          <w:shd w:val="clear" w:color="auto" w:fill="FFFFFF"/>
        </w:rPr>
        <w:t>L’Edge computing, l'informatique en périphérie ou l'informatique en périphérie de réseau, est une méthode d'optimisation employée dans le cloud computing qui consiste à traiter les données à la périphérie du réseau, près de la source des données.</w:t>
      </w:r>
    </w:p>
    <w:p w:rsidR="00B1523F" w:rsidRDefault="00B1523F" w:rsidP="00B1523F"/>
    <w:p w:rsidR="00B1523F" w:rsidRDefault="00B1523F" w:rsidP="00B1523F">
      <w:pPr>
        <w:pStyle w:val="Titre1"/>
        <w:rPr>
          <w:rStyle w:val="fontstyle01"/>
          <w:rFonts w:asciiTheme="majorHAnsi" w:hAnsiTheme="majorHAnsi"/>
          <w:b/>
          <w:bCs w:val="0"/>
          <w:color w:val="385623" w:themeColor="accent6" w:themeShade="80"/>
          <w:sz w:val="28"/>
          <w:szCs w:val="32"/>
        </w:rPr>
      </w:pPr>
      <w:r w:rsidRPr="00B1523F">
        <w:rPr>
          <w:rStyle w:val="fontstyle01"/>
          <w:rFonts w:asciiTheme="majorHAnsi" w:hAnsiTheme="majorHAnsi"/>
          <w:b/>
          <w:bCs w:val="0"/>
          <w:color w:val="385623" w:themeColor="accent6" w:themeShade="80"/>
          <w:sz w:val="28"/>
          <w:szCs w:val="32"/>
        </w:rPr>
        <w:t>Thème 2 : L’infrastructure</w:t>
      </w:r>
    </w:p>
    <w:p w:rsidR="00E739A6" w:rsidRDefault="00E739A6" w:rsidP="00E739A6">
      <w:pPr>
        <w:pStyle w:val="Titre3"/>
      </w:pPr>
      <w:r>
        <w:t>Metis</w:t>
      </w:r>
    </w:p>
    <w:p w:rsidR="00E739A6" w:rsidRDefault="00E739A6" w:rsidP="00E739A6">
      <w:r w:rsidRPr="00E739A6">
        <w:rPr>
          <w:noProof/>
        </w:rPr>
        <w:drawing>
          <wp:inline distT="0" distB="0" distL="0" distR="0" wp14:anchorId="7279AB81" wp14:editId="167BCBF8">
            <wp:extent cx="5760720" cy="299656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2996565"/>
                    </a:xfrm>
                    <a:prstGeom prst="rect">
                      <a:avLst/>
                    </a:prstGeom>
                  </pic:spPr>
                </pic:pic>
              </a:graphicData>
            </a:graphic>
          </wp:inline>
        </w:drawing>
      </w:r>
    </w:p>
    <w:p w:rsidR="00E739A6" w:rsidRDefault="00E739A6" w:rsidP="00E739A6">
      <w:pPr>
        <w:pStyle w:val="Titre2"/>
      </w:pPr>
      <w:proofErr w:type="spellStart"/>
      <w:r>
        <w:t>Hyperconvergence</w:t>
      </w:r>
      <w:proofErr w:type="spellEnd"/>
    </w:p>
    <w:p w:rsidR="00E739A6" w:rsidRDefault="00E739A6" w:rsidP="00E739A6">
      <w:pPr>
        <w:rPr>
          <w:rFonts w:cstheme="minorHAnsi"/>
          <w:shd w:val="clear" w:color="auto" w:fill="FFFFFF"/>
        </w:rPr>
      </w:pPr>
      <w:r w:rsidRPr="00E739A6">
        <w:rPr>
          <w:rFonts w:cstheme="minorHAnsi"/>
          <w:shd w:val="clear" w:color="auto" w:fill="FFFFFF"/>
        </w:rPr>
        <w:t>L'infrastructure hyperconvergée est un type d'infrastructure informatique distribuée dans lequel le </w:t>
      </w:r>
      <w:hyperlink r:id="rId27" w:history="1">
        <w:r w:rsidRPr="00E739A6">
          <w:rPr>
            <w:rStyle w:val="Lienhypertexte"/>
            <w:rFonts w:cstheme="minorHAnsi"/>
            <w:color w:val="auto"/>
            <w:shd w:val="clear" w:color="auto" w:fill="FFFFFF"/>
          </w:rPr>
          <w:t>stockage</w:t>
        </w:r>
      </w:hyperlink>
      <w:r w:rsidRPr="00E739A6">
        <w:rPr>
          <w:rFonts w:cstheme="minorHAnsi"/>
          <w:shd w:val="clear" w:color="auto" w:fill="FFFFFF"/>
        </w:rPr>
        <w:t> partagé est délivré non pas par une baie de stockage </w:t>
      </w:r>
      <w:hyperlink r:id="rId28" w:history="1">
        <w:r w:rsidRPr="00E739A6">
          <w:rPr>
            <w:rStyle w:val="Lienhypertexte"/>
            <w:rFonts w:cstheme="minorHAnsi"/>
            <w:color w:val="auto"/>
            <w:shd w:val="clear" w:color="auto" w:fill="FFFFFF"/>
          </w:rPr>
          <w:t>SAN</w:t>
        </w:r>
      </w:hyperlink>
      <w:r w:rsidRPr="00E739A6">
        <w:rPr>
          <w:rFonts w:cstheme="minorHAnsi"/>
          <w:shd w:val="clear" w:color="auto" w:fill="FFFFFF"/>
        </w:rPr>
        <w:t> ou </w:t>
      </w:r>
      <w:hyperlink r:id="rId29" w:history="1">
        <w:r w:rsidRPr="00E739A6">
          <w:rPr>
            <w:rStyle w:val="Lienhypertexte"/>
            <w:rFonts w:cstheme="minorHAnsi"/>
            <w:color w:val="auto"/>
            <w:shd w:val="clear" w:color="auto" w:fill="FFFFFF"/>
          </w:rPr>
          <w:t>NAS</w:t>
        </w:r>
      </w:hyperlink>
      <w:r w:rsidRPr="00E739A6">
        <w:rPr>
          <w:rFonts w:cstheme="minorHAnsi"/>
          <w:shd w:val="clear" w:color="auto" w:fill="FFFFFF"/>
        </w:rPr>
        <w:t xml:space="preserve">, mais par une couche </w:t>
      </w:r>
      <w:bookmarkStart w:id="0" w:name="_GoBack"/>
      <w:r w:rsidRPr="00E739A6">
        <w:rPr>
          <w:rFonts w:cstheme="minorHAnsi"/>
          <w:shd w:val="clear" w:color="auto" w:fill="FFFFFF"/>
        </w:rPr>
        <w:t>logicielle exploitant la capacité des disques durs installés dans les serveurs eux-mêmes.</w:t>
      </w:r>
    </w:p>
    <w:bookmarkEnd w:id="0"/>
    <w:p w:rsidR="00E739A6" w:rsidRDefault="00E739A6" w:rsidP="00E739A6">
      <w:pPr>
        <w:jc w:val="center"/>
        <w:rPr>
          <w:rFonts w:cstheme="minorHAnsi"/>
        </w:rPr>
      </w:pPr>
      <w:r w:rsidRPr="00E739A6">
        <w:rPr>
          <w:rFonts w:cstheme="minorHAnsi"/>
          <w:noProof/>
        </w:rPr>
        <w:lastRenderedPageBreak/>
        <w:drawing>
          <wp:inline distT="0" distB="0" distL="0" distR="0" wp14:anchorId="66C29059" wp14:editId="6429DD70">
            <wp:extent cx="5760000" cy="2017528"/>
            <wp:effectExtent l="0" t="0" r="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2473"/>
                    <a:stretch/>
                  </pic:blipFill>
                  <pic:spPr bwMode="auto">
                    <a:xfrm>
                      <a:off x="0" y="0"/>
                      <a:ext cx="5760000" cy="2017528"/>
                    </a:xfrm>
                    <a:prstGeom prst="rect">
                      <a:avLst/>
                    </a:prstGeom>
                    <a:ln>
                      <a:noFill/>
                    </a:ln>
                    <a:extLst>
                      <a:ext uri="{53640926-AAD7-44D8-BBD7-CCE9431645EC}">
                        <a14:shadowObscured xmlns:a14="http://schemas.microsoft.com/office/drawing/2010/main"/>
                      </a:ext>
                    </a:extLst>
                  </pic:spPr>
                </pic:pic>
              </a:graphicData>
            </a:graphic>
          </wp:inline>
        </w:drawing>
      </w:r>
    </w:p>
    <w:p w:rsidR="00E739A6" w:rsidRDefault="00E739A6" w:rsidP="00E739A6">
      <w:r w:rsidRPr="00E739A6">
        <w:t>Les architectures hyperconvergées sont innovantes dans la mesure où elles contribuent grandement à la simplification du datacenter en éliminant le stockage externe et la connectique associée. Comme dans le cas des </w:t>
      </w:r>
      <w:hyperlink r:id="rId31" w:history="1">
        <w:r w:rsidRPr="00E739A6">
          <w:rPr>
            <w:rStyle w:val="Lienhypertexte"/>
          </w:rPr>
          <w:t>infrastructure convergée</w:t>
        </w:r>
      </w:hyperlink>
      <w:r w:rsidRPr="00E739A6">
        <w:t>, la plupart des fournisseurs d'infrastructures hyperconvergées ont une approche généraliste et ont optimisé leurs solution pour accueillir les grands </w:t>
      </w:r>
      <w:hyperlink r:id="rId32" w:history="1">
        <w:r w:rsidRPr="00E739A6">
          <w:rPr>
            <w:rStyle w:val="Lienhypertexte"/>
          </w:rPr>
          <w:t>hyperviseurs</w:t>
        </w:r>
      </w:hyperlink>
      <w:r w:rsidRPr="00E739A6">
        <w:t> du marché (VMware vSphere, Microsoft Hyper-V et KVM).</w:t>
      </w:r>
    </w:p>
    <w:p w:rsidR="00045EF0" w:rsidRDefault="00045EF0" w:rsidP="00045EF0"/>
    <w:p w:rsidR="00045EF0" w:rsidRDefault="00045EF0" w:rsidP="00045EF0">
      <w:pPr>
        <w:pStyle w:val="Titre2"/>
      </w:pPr>
      <w:r>
        <w:t>Micro datacenter</w:t>
      </w:r>
    </w:p>
    <w:p w:rsidR="00045EF0" w:rsidRDefault="00045EF0" w:rsidP="00045EF0">
      <w:r w:rsidRPr="00045EF0">
        <w:rPr>
          <w:noProof/>
        </w:rPr>
        <w:drawing>
          <wp:inline distT="0" distB="0" distL="0" distR="0" wp14:anchorId="6D71A22F" wp14:editId="3D769E4B">
            <wp:extent cx="5760720" cy="340804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3408045"/>
                    </a:xfrm>
                    <a:prstGeom prst="rect">
                      <a:avLst/>
                    </a:prstGeom>
                  </pic:spPr>
                </pic:pic>
              </a:graphicData>
            </a:graphic>
          </wp:inline>
        </w:drawing>
      </w:r>
    </w:p>
    <w:p w:rsidR="00045EF0" w:rsidRDefault="00045EF0" w:rsidP="00045EF0">
      <w:r w:rsidRPr="00045EF0">
        <w:t xml:space="preserve">Un micro-datacenter (MDC) est un système relativement petit et modulaire qui fournit des services aux petites entreprises ou des ressources supplémentaires aux plus grandes. Un MDC peut résoudre d'autres types de problèmes ou traiter des types de </w:t>
      </w:r>
      <w:proofErr w:type="spellStart"/>
      <w:r w:rsidRPr="00045EF0">
        <w:t>workloads</w:t>
      </w:r>
      <w:proofErr w:type="spellEnd"/>
      <w:r w:rsidRPr="00045EF0">
        <w:t xml:space="preserve"> que les installations classiques ou les grands datacenters modulaires ne sont pas en mesure de prendre en charge.</w:t>
      </w:r>
    </w:p>
    <w:p w:rsidR="00045EF0" w:rsidRDefault="00045EF0" w:rsidP="00045EF0"/>
    <w:p w:rsidR="00045EF0" w:rsidRDefault="00045EF0" w:rsidP="00045EF0">
      <w:pPr>
        <w:pStyle w:val="Titre1"/>
        <w:rPr>
          <w:rStyle w:val="fontstyle01"/>
          <w:rFonts w:asciiTheme="majorHAnsi" w:hAnsiTheme="majorHAnsi"/>
          <w:b/>
          <w:bCs w:val="0"/>
          <w:color w:val="385623" w:themeColor="accent6" w:themeShade="80"/>
          <w:sz w:val="28"/>
          <w:szCs w:val="32"/>
        </w:rPr>
      </w:pPr>
      <w:r w:rsidRPr="00045EF0">
        <w:rPr>
          <w:rStyle w:val="fontstyle01"/>
          <w:rFonts w:asciiTheme="majorHAnsi" w:hAnsiTheme="majorHAnsi"/>
          <w:b/>
          <w:bCs w:val="0"/>
          <w:color w:val="385623" w:themeColor="accent6" w:themeShade="80"/>
          <w:sz w:val="28"/>
          <w:szCs w:val="32"/>
        </w:rPr>
        <w:lastRenderedPageBreak/>
        <w:t>Thème 3 : Le local et les économies d’énergie</w:t>
      </w:r>
    </w:p>
    <w:p w:rsidR="00045EF0" w:rsidRDefault="00045EF0" w:rsidP="00045EF0">
      <w:pPr>
        <w:pStyle w:val="Titre3"/>
      </w:pPr>
      <w:r>
        <w:t>Metis</w:t>
      </w:r>
    </w:p>
    <w:p w:rsidR="00045EF0" w:rsidRPr="00506109" w:rsidRDefault="00045EF0" w:rsidP="00045EF0">
      <w:pPr>
        <w:rPr>
          <w:rStyle w:val="Titre2Car"/>
        </w:rPr>
      </w:pPr>
      <w:r w:rsidRPr="00045EF0">
        <w:rPr>
          <w:noProof/>
        </w:rPr>
        <w:drawing>
          <wp:inline distT="0" distB="0" distL="0" distR="0" wp14:anchorId="7604C8B1" wp14:editId="5EDC11B0">
            <wp:extent cx="5760720" cy="24307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430780"/>
                    </a:xfrm>
                    <a:prstGeom prst="rect">
                      <a:avLst/>
                    </a:prstGeom>
                  </pic:spPr>
                </pic:pic>
              </a:graphicData>
            </a:graphic>
          </wp:inline>
        </w:drawing>
      </w:r>
      <w:r w:rsidRPr="00506109">
        <w:rPr>
          <w:rStyle w:val="Titre2Car"/>
        </w:rPr>
        <w:t>Composant</w:t>
      </w:r>
      <w:r w:rsidR="00506109" w:rsidRPr="00506109">
        <w:rPr>
          <w:rStyle w:val="Titre2Car"/>
        </w:rPr>
        <w:t>es physiques</w:t>
      </w:r>
    </w:p>
    <w:p w:rsidR="00506109" w:rsidRPr="00506109" w:rsidRDefault="00AD523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hyperlink r:id="rId35" w:tooltip="Climatisation" w:history="1">
        <w:r w:rsidR="00506109" w:rsidRPr="00506109">
          <w:rPr>
            <w:rFonts w:eastAsia="Times New Roman" w:cstheme="minorHAnsi"/>
            <w:color w:val="0B0080"/>
            <w:u w:val="single"/>
            <w:lang w:eastAsia="fr-FR"/>
          </w:rPr>
          <w:t>Climatisation</w:t>
        </w:r>
      </w:hyperlink>
      <w:r w:rsidR="00506109" w:rsidRPr="00506109">
        <w:rPr>
          <w:rFonts w:eastAsia="Times New Roman" w:cstheme="minorHAnsi"/>
          <w:color w:val="222222"/>
          <w:lang w:eastAsia="fr-FR"/>
        </w:rPr>
        <w:t> (précise et stable)</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Contrôle de la poussière (filtration de l'air)</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Unité de distribution de l'énergie</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Bloc d'alimentation d'urgence, et une unité de secours (Générateur, UPS)</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Système perfectionné d'alerte d'incendie</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Extinction automatique des incendies (par microgouttelettes ou gaz inerte)</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Plancher surélever</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Conduites pour câbles au-dessus et au-dessous du plancher</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Surveillance par caméras en circuit fermé</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Contrôle des accès, ainsi que sécurité physique</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Surveillance </w:t>
      </w:r>
      <w:hyperlink r:id="rId36" w:tooltip="24/7" w:history="1">
        <w:r w:rsidRPr="00506109">
          <w:rPr>
            <w:rFonts w:eastAsia="Times New Roman" w:cstheme="minorHAnsi"/>
            <w:color w:val="0B0080"/>
            <w:u w:val="single"/>
            <w:lang w:eastAsia="fr-FR"/>
          </w:rPr>
          <w:t>24/7</w:t>
        </w:r>
      </w:hyperlink>
      <w:r w:rsidRPr="00506109">
        <w:rPr>
          <w:rFonts w:eastAsia="Times New Roman" w:cstheme="minorHAnsi"/>
          <w:color w:val="222222"/>
          <w:lang w:eastAsia="fr-FR"/>
        </w:rPr>
        <w:t> des </w:t>
      </w:r>
      <w:hyperlink r:id="rId37" w:tooltip="Serveur informatique" w:history="1">
        <w:r w:rsidRPr="00506109">
          <w:rPr>
            <w:rFonts w:eastAsia="Times New Roman" w:cstheme="minorHAnsi"/>
            <w:color w:val="0B0080"/>
            <w:u w:val="single"/>
            <w:lang w:eastAsia="fr-FR"/>
          </w:rPr>
          <w:t>serveurs</w:t>
        </w:r>
      </w:hyperlink>
      <w:r w:rsidRPr="00506109">
        <w:rPr>
          <w:rFonts w:eastAsia="Times New Roman" w:cstheme="minorHAnsi"/>
          <w:color w:val="222222"/>
          <w:lang w:eastAsia="fr-FR"/>
        </w:rPr>
        <w:t> dédiés (ordinateurs)</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Service de sécurité continuellement présent</w:t>
      </w:r>
    </w:p>
    <w:p w:rsidR="00506109" w:rsidRPr="00506109" w:rsidRDefault="0050610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r w:rsidRPr="00506109">
        <w:rPr>
          <w:rFonts w:eastAsia="Times New Roman" w:cstheme="minorHAnsi"/>
          <w:color w:val="222222"/>
          <w:lang w:eastAsia="fr-FR"/>
        </w:rPr>
        <w:t>Câbles de paires torsadées de cuivre en </w:t>
      </w:r>
      <w:hyperlink r:id="rId38" w:tooltip="Ethernet" w:history="1">
        <w:r w:rsidRPr="00506109">
          <w:rPr>
            <w:rFonts w:eastAsia="Times New Roman" w:cstheme="minorHAnsi"/>
            <w:color w:val="0B0080"/>
            <w:u w:val="single"/>
            <w:lang w:eastAsia="fr-FR"/>
          </w:rPr>
          <w:t>Ethernet</w:t>
        </w:r>
      </w:hyperlink>
      <w:r w:rsidRPr="00506109">
        <w:rPr>
          <w:rFonts w:eastAsia="Times New Roman" w:cstheme="minorHAnsi"/>
          <w:color w:val="222222"/>
          <w:lang w:eastAsia="fr-FR"/>
        </w:rPr>
        <w:t> (Fast ou Gigabit) pour liaisons inter-[jarretières/switches/routeurs/firewall]</w:t>
      </w:r>
    </w:p>
    <w:p w:rsidR="00506109" w:rsidRDefault="00AD5239" w:rsidP="00506109">
      <w:pPr>
        <w:numPr>
          <w:ilvl w:val="0"/>
          <w:numId w:val="16"/>
        </w:numPr>
        <w:shd w:val="clear" w:color="auto" w:fill="FFFFFF"/>
        <w:spacing w:before="100" w:beforeAutospacing="1" w:after="24" w:line="240" w:lineRule="auto"/>
        <w:ind w:left="384"/>
        <w:rPr>
          <w:rFonts w:eastAsia="Times New Roman" w:cstheme="minorHAnsi"/>
          <w:color w:val="222222"/>
          <w:lang w:eastAsia="fr-FR"/>
        </w:rPr>
      </w:pPr>
      <w:hyperlink r:id="rId39" w:tooltip="Fibres optiques" w:history="1">
        <w:r w:rsidR="00506109" w:rsidRPr="00506109">
          <w:rPr>
            <w:rFonts w:eastAsia="Times New Roman" w:cstheme="minorHAnsi"/>
            <w:color w:val="0B0080"/>
            <w:u w:val="single"/>
            <w:lang w:eastAsia="fr-FR"/>
          </w:rPr>
          <w:t>Fibres optiques</w:t>
        </w:r>
      </w:hyperlink>
      <w:r w:rsidR="00506109" w:rsidRPr="00506109">
        <w:rPr>
          <w:rFonts w:eastAsia="Times New Roman" w:cstheme="minorHAnsi"/>
          <w:color w:val="222222"/>
          <w:lang w:eastAsia="fr-FR"/>
        </w:rPr>
        <w:t> pour liaisons inter-sites ou inter-[jarretières/switches/routeurs/firewall]</w:t>
      </w:r>
    </w:p>
    <w:p w:rsidR="00506109" w:rsidRPr="00506109" w:rsidRDefault="00506109" w:rsidP="00506109">
      <w:pPr>
        <w:pStyle w:val="Titre2"/>
        <w:rPr>
          <w:rFonts w:asciiTheme="minorHAnsi" w:eastAsia="Times New Roman" w:hAnsiTheme="minorHAnsi"/>
          <w:sz w:val="22"/>
          <w:szCs w:val="22"/>
          <w:lang w:eastAsia="fr-FR"/>
        </w:rPr>
      </w:pPr>
      <w:r>
        <w:rPr>
          <w:rFonts w:eastAsia="Times New Roman"/>
          <w:lang w:eastAsia="fr-FR"/>
        </w:rPr>
        <w:t>Energie, environnement réutilisation</w:t>
      </w:r>
    </w:p>
    <w:p w:rsidR="00506109" w:rsidRDefault="00506109" w:rsidP="00506109">
      <w:r w:rsidRPr="00506109">
        <w:t>Voire la partie très bien faite de Wikipédia</w:t>
      </w:r>
      <w:r>
        <w:t xml:space="preserve"> sur les </w:t>
      </w:r>
      <w:r w:rsidR="00F12DC2">
        <w:t>Energie</w:t>
      </w:r>
    </w:p>
    <w:p w:rsidR="00506109" w:rsidRDefault="00AD5239" w:rsidP="00506109">
      <w:hyperlink r:id="rId40" w:history="1">
        <w:r w:rsidR="00506109" w:rsidRPr="0073526B">
          <w:rPr>
            <w:rStyle w:val="Lienhypertexte"/>
          </w:rPr>
          <w:t>https://fr.wikipedia.org/wiki/Centre_de_données</w:t>
        </w:r>
      </w:hyperlink>
    </w:p>
    <w:p w:rsidR="00506109" w:rsidRDefault="00F12DC2" w:rsidP="00F12DC2">
      <w:pPr>
        <w:pStyle w:val="Titre1"/>
        <w:rPr>
          <w:rStyle w:val="fontstyle01"/>
          <w:rFonts w:asciiTheme="majorHAnsi" w:hAnsiTheme="majorHAnsi"/>
          <w:b/>
          <w:bCs w:val="0"/>
          <w:color w:val="385623" w:themeColor="accent6" w:themeShade="80"/>
          <w:sz w:val="28"/>
          <w:szCs w:val="32"/>
        </w:rPr>
      </w:pPr>
      <w:r w:rsidRPr="00F12DC2">
        <w:rPr>
          <w:rStyle w:val="fontstyle01"/>
          <w:rFonts w:asciiTheme="majorHAnsi" w:hAnsiTheme="majorHAnsi"/>
          <w:b/>
          <w:bCs w:val="0"/>
          <w:color w:val="385623" w:themeColor="accent6" w:themeShade="80"/>
          <w:sz w:val="28"/>
          <w:szCs w:val="32"/>
        </w:rPr>
        <w:lastRenderedPageBreak/>
        <w:t>Thème 4 : Classification des Datacenters</w:t>
      </w:r>
    </w:p>
    <w:p w:rsidR="00F12DC2" w:rsidRDefault="00F12DC2" w:rsidP="00F12DC2">
      <w:pPr>
        <w:pStyle w:val="Titre3"/>
      </w:pPr>
      <w:r>
        <w:t>Metis</w:t>
      </w:r>
    </w:p>
    <w:p w:rsidR="00F12DC2" w:rsidRDefault="00F12DC2" w:rsidP="00F12DC2">
      <w:r w:rsidRPr="00F12DC2">
        <w:rPr>
          <w:noProof/>
        </w:rPr>
        <w:drawing>
          <wp:inline distT="0" distB="0" distL="0" distR="0" wp14:anchorId="029876DE" wp14:editId="5D6F8706">
            <wp:extent cx="5760720" cy="173672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1736725"/>
                    </a:xfrm>
                    <a:prstGeom prst="rect">
                      <a:avLst/>
                    </a:prstGeom>
                  </pic:spPr>
                </pic:pic>
              </a:graphicData>
            </a:graphic>
          </wp:inline>
        </w:drawing>
      </w:r>
    </w:p>
    <w:p w:rsidR="00F12DC2" w:rsidRDefault="00F12DC2" w:rsidP="00F12DC2"/>
    <w:p w:rsidR="00F12DC2" w:rsidRDefault="00F12DC2" w:rsidP="00F12DC2">
      <w:pPr>
        <w:pStyle w:val="Titre3"/>
      </w:pPr>
      <w:r>
        <w:t>Définition</w:t>
      </w:r>
    </w:p>
    <w:p w:rsidR="0076567E" w:rsidRDefault="0076567E" w:rsidP="0076567E">
      <w:pPr>
        <w:rPr>
          <w:rFonts w:asciiTheme="majorHAnsi" w:eastAsiaTheme="majorEastAsia" w:hAnsiTheme="majorHAnsi" w:cstheme="majorBidi"/>
          <w:b/>
          <w:color w:val="C00000"/>
          <w:sz w:val="24"/>
          <w:szCs w:val="24"/>
        </w:rPr>
      </w:pPr>
    </w:p>
    <w:p w:rsidR="0076567E" w:rsidRDefault="0076567E" w:rsidP="0076567E">
      <w:r w:rsidRPr="0076567E">
        <w:rPr>
          <w:noProof/>
        </w:rPr>
        <w:drawing>
          <wp:inline distT="0" distB="0" distL="0" distR="0" wp14:anchorId="410EA5D7" wp14:editId="30225F3B">
            <wp:extent cx="5760720" cy="3611245"/>
            <wp:effectExtent l="0" t="0" r="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3611245"/>
                    </a:xfrm>
                    <a:prstGeom prst="rect">
                      <a:avLst/>
                    </a:prstGeom>
                  </pic:spPr>
                </pic:pic>
              </a:graphicData>
            </a:graphic>
          </wp:inline>
        </w:drawing>
      </w:r>
    </w:p>
    <w:p w:rsidR="0076567E" w:rsidRPr="0076567E" w:rsidRDefault="0076567E" w:rsidP="0076567E">
      <w:pPr>
        <w:pStyle w:val="Titre4"/>
      </w:pPr>
      <w:r w:rsidRPr="0076567E">
        <w:t>Tier I – « basique »</w:t>
      </w:r>
    </w:p>
    <w:p w:rsidR="0076567E" w:rsidRPr="0076567E" w:rsidRDefault="0076567E" w:rsidP="0076567E">
      <w:r w:rsidRPr="0076567E">
        <w:t>Ce niveau correspondant à un centre de données composé d’une seule alimentation électrique, sans aucune redondance que ce soit pour l’infrastructure ou la climatisation.</w:t>
      </w:r>
    </w:p>
    <w:p w:rsidR="0076567E" w:rsidRPr="0076567E" w:rsidRDefault="0076567E" w:rsidP="0076567E">
      <w:pPr>
        <w:numPr>
          <w:ilvl w:val="0"/>
          <w:numId w:val="17"/>
        </w:numPr>
      </w:pPr>
      <w:r w:rsidRPr="0076567E">
        <w:t>Taux de disponibilité : 99,671 %.</w:t>
      </w:r>
    </w:p>
    <w:p w:rsidR="0076567E" w:rsidRPr="0076567E" w:rsidRDefault="0076567E" w:rsidP="0076567E">
      <w:pPr>
        <w:numPr>
          <w:ilvl w:val="0"/>
          <w:numId w:val="17"/>
        </w:numPr>
      </w:pPr>
      <w:r w:rsidRPr="0076567E">
        <w:t>Un arrêt annuel pour maintenance.</w:t>
      </w:r>
    </w:p>
    <w:p w:rsidR="0076567E" w:rsidRPr="0076567E" w:rsidRDefault="0076567E" w:rsidP="0076567E">
      <w:pPr>
        <w:pStyle w:val="Titre4"/>
      </w:pPr>
      <w:r w:rsidRPr="0076567E">
        <w:t>Tier II – redondance partielle</w:t>
      </w:r>
    </w:p>
    <w:p w:rsidR="0076567E" w:rsidRPr="0076567E" w:rsidRDefault="0076567E" w:rsidP="0076567E">
      <w:r w:rsidRPr="0076567E">
        <w:lastRenderedPageBreak/>
        <w:t>Certains composants de distribution électrique sont redondés, mais le chemin de distribution électrique ne l’est pas. La planification des opérations de maintenance sur les composants redondés évite tout impact sur le matériel informatique.</w:t>
      </w:r>
    </w:p>
    <w:p w:rsidR="0076567E" w:rsidRPr="0076567E" w:rsidRDefault="0076567E" w:rsidP="0076567E">
      <w:pPr>
        <w:numPr>
          <w:ilvl w:val="0"/>
          <w:numId w:val="18"/>
        </w:numPr>
      </w:pPr>
      <w:r w:rsidRPr="0076567E">
        <w:t>Taux de disponibilité : 99,741 %.</w:t>
      </w:r>
    </w:p>
    <w:p w:rsidR="0076567E" w:rsidRPr="0076567E" w:rsidRDefault="0076567E" w:rsidP="0076567E">
      <w:pPr>
        <w:numPr>
          <w:ilvl w:val="0"/>
          <w:numId w:val="18"/>
        </w:numPr>
      </w:pPr>
      <w:r w:rsidRPr="0076567E">
        <w:t>22 heures (moyenne) d’interruption par an.</w:t>
      </w:r>
    </w:p>
    <w:p w:rsidR="0076567E" w:rsidRPr="0076567E" w:rsidRDefault="0076567E" w:rsidP="0076567E">
      <w:pPr>
        <w:pStyle w:val="Titre4"/>
      </w:pPr>
      <w:r w:rsidRPr="0076567E">
        <w:t>Tier III – maintenance concurrente</w:t>
      </w:r>
    </w:p>
    <w:p w:rsidR="0076567E" w:rsidRPr="0076567E" w:rsidRDefault="0076567E" w:rsidP="0076567E">
      <w:r w:rsidRPr="0076567E">
        <w:t>Tous les composants sont redondés et de multiples chemins de distribution existent, mais un seul est utilisé (distribution en mode actif/passif). Tout le matériel informatique est à double alimentation.</w:t>
      </w:r>
    </w:p>
    <w:p w:rsidR="0076567E" w:rsidRPr="0076567E" w:rsidRDefault="0076567E" w:rsidP="0076567E">
      <w:pPr>
        <w:numPr>
          <w:ilvl w:val="0"/>
          <w:numId w:val="19"/>
        </w:numPr>
      </w:pPr>
      <w:r w:rsidRPr="0076567E">
        <w:t>Taux de disponibilité : 99,982 %.</w:t>
      </w:r>
    </w:p>
    <w:p w:rsidR="0076567E" w:rsidRPr="0076567E" w:rsidRDefault="0076567E" w:rsidP="0076567E">
      <w:pPr>
        <w:numPr>
          <w:ilvl w:val="0"/>
          <w:numId w:val="19"/>
        </w:numPr>
      </w:pPr>
      <w:r w:rsidRPr="0076567E">
        <w:t>1,6 heure (moyenne) d’interruption par an.</w:t>
      </w:r>
    </w:p>
    <w:p w:rsidR="0076567E" w:rsidRPr="0076567E" w:rsidRDefault="0076567E" w:rsidP="0076567E">
      <w:pPr>
        <w:pStyle w:val="Titre4"/>
      </w:pPr>
      <w:r w:rsidRPr="0076567E">
        <w:t>Tier IV – tolérance aux pannes</w:t>
      </w:r>
    </w:p>
    <w:p w:rsidR="0076567E" w:rsidRPr="0076567E" w:rsidRDefault="0076567E" w:rsidP="0076567E">
      <w:r w:rsidRPr="0076567E">
        <w:t>Il y a plusieurs sources d’alimentation. Chaque système est redondé et physiquement</w:t>
      </w:r>
      <w:r w:rsidRPr="0076567E">
        <w:br/>
        <w:t>compartimenté. Ce datacenter supporte automatiquement l’arrêt imprévu d’un</w:t>
      </w:r>
      <w:r w:rsidR="001B7CE2">
        <w:t xml:space="preserve"> </w:t>
      </w:r>
      <w:r w:rsidRPr="0076567E">
        <w:t>composant.</w:t>
      </w:r>
    </w:p>
    <w:p w:rsidR="0076567E" w:rsidRPr="0076567E" w:rsidRDefault="0076567E" w:rsidP="0076567E">
      <w:r w:rsidRPr="0076567E">
        <w:t>Refroidissement continu : la température en salle est donc maintenue même pendant une coupure électrique.</w:t>
      </w:r>
    </w:p>
    <w:p w:rsidR="0076567E" w:rsidRPr="0076567E" w:rsidRDefault="0076567E" w:rsidP="0076567E">
      <w:pPr>
        <w:numPr>
          <w:ilvl w:val="0"/>
          <w:numId w:val="20"/>
        </w:numPr>
      </w:pPr>
      <w:r w:rsidRPr="0076567E">
        <w:t>Taux de disponibilité : 99,995 %.</w:t>
      </w:r>
    </w:p>
    <w:p w:rsidR="0076567E" w:rsidRPr="0076567E" w:rsidRDefault="0076567E" w:rsidP="0076567E">
      <w:pPr>
        <w:numPr>
          <w:ilvl w:val="0"/>
          <w:numId w:val="20"/>
        </w:numPr>
      </w:pPr>
      <w:r w:rsidRPr="0076567E">
        <w:t>0,8 heure (moyenne) d’interruption par an.</w:t>
      </w:r>
    </w:p>
    <w:p w:rsidR="0076567E" w:rsidRPr="0076567E" w:rsidRDefault="0076567E" w:rsidP="0076567E">
      <w:r w:rsidRPr="0076567E">
        <w:t>Pour être classé parmi ces différents niveaux, le datacenter doit répondre à différents cahiers des charges et certifications.</w:t>
      </w:r>
    </w:p>
    <w:p w:rsidR="0076567E" w:rsidRPr="0076567E" w:rsidRDefault="0076567E" w:rsidP="0076567E"/>
    <w:sectPr w:rsidR="0076567E" w:rsidRPr="0076567E">
      <w:head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0030" w:rsidRDefault="00C00030" w:rsidP="00D76446">
      <w:pPr>
        <w:spacing w:after="0" w:line="240" w:lineRule="auto"/>
      </w:pPr>
      <w:r>
        <w:separator/>
      </w:r>
    </w:p>
  </w:endnote>
  <w:endnote w:type="continuationSeparator" w:id="0">
    <w:p w:rsidR="00C00030" w:rsidRDefault="00C00030" w:rsidP="00D7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Black">
    <w:altName w:val="Arial"/>
    <w:panose1 w:val="00000000000000000000"/>
    <w:charset w:val="00"/>
    <w:family w:val="swiss"/>
    <w:notTrueType/>
    <w:pitch w:val="variable"/>
    <w:sig w:usb0="00000001"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0030" w:rsidRDefault="00C00030" w:rsidP="00D76446">
      <w:pPr>
        <w:spacing w:after="0" w:line="240" w:lineRule="auto"/>
      </w:pPr>
      <w:r>
        <w:separator/>
      </w:r>
    </w:p>
  </w:footnote>
  <w:footnote w:type="continuationSeparator" w:id="0">
    <w:p w:rsidR="00C00030" w:rsidRDefault="00C00030" w:rsidP="00D7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446" w:rsidRDefault="00594B0B">
    <w:pPr>
      <w:pStyle w:val="En-tte"/>
    </w:pPr>
    <w:r>
      <w:rPr>
        <w:noProof/>
        <w:lang w:eastAsia="fr-FR"/>
      </w:rPr>
      <mc:AlternateContent>
        <mc:Choice Requires="wps">
          <w:drawing>
            <wp:anchor distT="0" distB="0" distL="114300" distR="114300" simplePos="0" relativeHeight="251660288" behindDoc="0" locked="0" layoutInCell="0" allowOverlap="1" wp14:anchorId="7AF26019" wp14:editId="3F5DA7D4">
              <wp:simplePos x="0" y="0"/>
              <wp:positionH relativeFrom="margin">
                <wp:posOffset>1252855</wp:posOffset>
              </wp:positionH>
              <wp:positionV relativeFrom="topMargin">
                <wp:align>bottom</wp:align>
              </wp:positionV>
              <wp:extent cx="3560445" cy="819150"/>
              <wp:effectExtent l="0" t="0" r="0" b="0"/>
              <wp:wrapNone/>
              <wp:docPr id="220" name="Zone de text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044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7855" w:rsidRDefault="00B1523F" w:rsidP="00147855">
                          <w:pPr>
                            <w:pStyle w:val="titrecentralafpa"/>
                          </w:pPr>
                          <w:r>
                            <w:rPr>
                              <w:b w:val="0"/>
                            </w:rPr>
                            <w:t>Datacenter</w:t>
                          </w:r>
                        </w:p>
                        <w:p w:rsidR="00D76446" w:rsidRDefault="00D76446" w:rsidP="00D76446">
                          <w:pPr>
                            <w:spacing w:after="0" w:line="240" w:lineRule="auto"/>
                            <w:jc w:val="center"/>
                          </w:pP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AF26019" id="_x0000_t202" coordsize="21600,21600" o:spt="202" path="m,l,21600r21600,l21600,xe">
              <v:stroke joinstyle="miter"/>
              <v:path gradientshapeok="t" o:connecttype="rect"/>
            </v:shapetype>
            <v:shape id="Zone de texte 220" o:spid="_x0000_s1026" type="#_x0000_t202" style="position:absolute;margin-left:98.65pt;margin-top:0;width:280.35pt;height:64.5pt;z-index:251660288;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" o:allowincell="f" filled="f" stroked="f">
              <v:textbox inset=",0,,0">
                <w:txbxContent>
                  <w:p w:rsidR="00147855" w:rsidRDefault="00B1523F" w:rsidP="00147855">
                    <w:pPr>
                      <w:pStyle w:val="titrecentralafpa"/>
                    </w:pPr>
                    <w:r>
                      <w:rPr>
                        <w:b w:val="0"/>
                      </w:rPr>
                      <w:t>Datacenter</w:t>
                    </w:r>
                  </w:p>
                  <w:p w:rsidR="00D76446" w:rsidRDefault="00D76446" w:rsidP="00D76446">
                    <w:pPr>
                      <w:spacing w:after="0" w:line="240" w:lineRule="auto"/>
                      <w:jc w:val="center"/>
                    </w:pPr>
                  </w:p>
                </w:txbxContent>
              </v:textbox>
              <w10:wrap anchorx="margin" anchory="margin"/>
            </v:shape>
          </w:pict>
        </mc:Fallback>
      </mc:AlternateContent>
    </w:r>
    <w:r w:rsidR="00AD523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1pt;margin-top:-25.5pt;width:50.25pt;height:50.25pt;z-index:-251649024;mso-position-horizontal-relative:text;mso-position-vertical-relative:text;mso-width-relative:page;mso-height-relative:page" wrapcoords="-322 0 -322 21278 21600 21278 21600 0 -322 0">
          <v:imagedata r:id="rId1" o:title="logo_Afpa"/>
          <w10:wrap type="through"/>
        </v:shape>
      </w:pict>
    </w:r>
    <w:r w:rsidR="00AD5239">
      <w:rPr>
        <w:noProof/>
      </w:rPr>
      <w:pict>
        <v:shape id="_x0000_s2049" type="#_x0000_t75" style="position:absolute;margin-left:-63.35pt;margin-top:-27.75pt;width:42pt;height:55.15pt;z-index:-251651072;mso-position-horizontal-relative:text;mso-position-vertical-relative:text;mso-width-relative:page;mso-height-relative:page" wrapcoords="-338 0 -338 21343 21600 21343 21600 0 -338 0">
          <v:imagedata r:id="rId2" o:title="Logo T2sr"/>
          <w10:wrap type="through"/>
        </v:shape>
      </w:pict>
    </w:r>
    <w:r w:rsidR="00D76446">
      <w:rPr>
        <w:noProof/>
      </w:rPr>
      <w:t xml:space="preserve"> </w:t>
    </w:r>
    <w:r w:rsidR="00D76446">
      <w:rPr>
        <w:noProof/>
        <w:lang w:eastAsia="fr-FR"/>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Zone de text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D76446" w:rsidRDefault="00D76446">
                          <w:pPr>
                            <w:spacing w:after="0" w:line="240" w:lineRule="auto"/>
                            <w:rPr>
                              <w:color w:val="FFFFFF" w:themeColor="background1"/>
                            </w:rPr>
                          </w:pPr>
                          <w:r>
                            <w:fldChar w:fldCharType="begin"/>
                          </w:r>
                          <w:r>
                            <w:instrText>PAGE   \* MERGEFORMAT</w:instrText>
                          </w:r>
                          <w:r>
                            <w:fldChar w:fldCharType="separate"/>
                          </w:r>
                          <w:r w:rsidR="005D4FD5" w:rsidRPr="005D4FD5">
                            <w:rPr>
                              <w:noProof/>
                              <w:color w:val="FFFFFF" w:themeColor="background1"/>
                            </w:rPr>
                            <w:t>1</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Zone de texte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" o:allowincell="f" fillcolor="#a8d08d [1945]" stroked="f">
              <v:textbox style="mso-fit-shape-to-text:t" inset=",0,,0">
                <w:txbxContent>
                  <w:p w:rsidR="00D76446" w:rsidRDefault="00D76446">
                    <w:pPr>
                      <w:spacing w:after="0" w:line="240" w:lineRule="auto"/>
                      <w:rPr>
                        <w:color w:val="FFFFFF" w:themeColor="background1"/>
                      </w:rPr>
                    </w:pPr>
                    <w:r>
                      <w:fldChar w:fldCharType="begin"/>
                    </w:r>
                    <w:r>
                      <w:instrText>PAGE   \* MERGEFORMAT</w:instrText>
                    </w:r>
                    <w:r>
                      <w:fldChar w:fldCharType="separate"/>
                    </w:r>
                    <w:r w:rsidR="005D4FD5" w:rsidRPr="005D4FD5">
                      <w:rPr>
                        <w:noProof/>
                        <w:color w:val="FFFFFF" w:themeColor="background1"/>
                      </w:rPr>
                      <w:t>1</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8AC"/>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25494C"/>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E71DCE"/>
    <w:multiLevelType w:val="multilevel"/>
    <w:tmpl w:val="1B84E848"/>
    <w:lvl w:ilvl="0">
      <w:start w:val="1"/>
      <w:numFmt w:val="decimal"/>
      <w:lvlText w:val="%1."/>
      <w:lvlJc w:val="left"/>
      <w:pPr>
        <w:ind w:left="360" w:hanging="360"/>
      </w:pPr>
      <w:rPr>
        <w:b/>
        <w:bCs/>
        <w:i/>
        <w:i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244393"/>
    <w:multiLevelType w:val="multilevel"/>
    <w:tmpl w:val="1B84E848"/>
    <w:lvl w:ilvl="0">
      <w:start w:val="1"/>
      <w:numFmt w:val="decimal"/>
      <w:lvlText w:val="%1."/>
      <w:lvlJc w:val="left"/>
      <w:pPr>
        <w:ind w:left="360" w:hanging="360"/>
      </w:pPr>
      <w:rPr>
        <w:b/>
        <w:bCs/>
        <w:i/>
        <w:i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85330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14162A"/>
    <w:multiLevelType w:val="multilevel"/>
    <w:tmpl w:val="DE2E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F30E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6C736A"/>
    <w:multiLevelType w:val="multilevel"/>
    <w:tmpl w:val="1B84E848"/>
    <w:lvl w:ilvl="0">
      <w:start w:val="1"/>
      <w:numFmt w:val="decimal"/>
      <w:lvlText w:val="%1."/>
      <w:lvlJc w:val="left"/>
      <w:pPr>
        <w:ind w:left="1068" w:hanging="360"/>
      </w:pPr>
      <w:rPr>
        <w:b/>
        <w:bCs/>
        <w:i/>
        <w:iCs/>
        <w:sz w:val="28"/>
        <w:szCs w:val="28"/>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8" w15:restartNumberingAfterBreak="0">
    <w:nsid w:val="4C0C2B0B"/>
    <w:multiLevelType w:val="multilevel"/>
    <w:tmpl w:val="FBAC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D661AC"/>
    <w:multiLevelType w:val="multilevel"/>
    <w:tmpl w:val="1B84E848"/>
    <w:lvl w:ilvl="0">
      <w:start w:val="1"/>
      <w:numFmt w:val="decimal"/>
      <w:lvlText w:val="%1."/>
      <w:lvlJc w:val="left"/>
      <w:pPr>
        <w:ind w:left="360" w:hanging="360"/>
      </w:pPr>
      <w:rPr>
        <w:b/>
        <w:bCs/>
        <w:i/>
        <w:i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5244C7"/>
    <w:multiLevelType w:val="multilevel"/>
    <w:tmpl w:val="AE38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6A01D0"/>
    <w:multiLevelType w:val="multilevel"/>
    <w:tmpl w:val="4E7A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E80265"/>
    <w:multiLevelType w:val="hybridMultilevel"/>
    <w:tmpl w:val="3120FF24"/>
    <w:lvl w:ilvl="0" w:tplc="F9327ECC">
      <w:start w:val="1"/>
      <w:numFmt w:val="decimal"/>
      <w:lvlText w:val="%1."/>
      <w:lvlJc w:val="left"/>
      <w:pPr>
        <w:ind w:left="360" w:hanging="360"/>
      </w:pPr>
      <w:rPr>
        <w:rFonts w:hint="default"/>
        <w:b/>
        <w:bCs/>
        <w:i/>
        <w:iCs/>
        <w:sz w:val="28"/>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5E757D5B"/>
    <w:multiLevelType w:val="multilevel"/>
    <w:tmpl w:val="1B84E848"/>
    <w:lvl w:ilvl="0">
      <w:start w:val="1"/>
      <w:numFmt w:val="decimal"/>
      <w:lvlText w:val="%1."/>
      <w:lvlJc w:val="left"/>
      <w:pPr>
        <w:ind w:left="360" w:hanging="360"/>
      </w:pPr>
      <w:rPr>
        <w:b/>
        <w:bCs/>
        <w:i/>
        <w:i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1194A91"/>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15:restartNumberingAfterBreak="0">
    <w:nsid w:val="65D72ED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8FD0918"/>
    <w:multiLevelType w:val="multilevel"/>
    <w:tmpl w:val="069E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F21CD"/>
    <w:multiLevelType w:val="hybridMultilevel"/>
    <w:tmpl w:val="BFC8114E"/>
    <w:lvl w:ilvl="0" w:tplc="F9327ECC">
      <w:start w:val="1"/>
      <w:numFmt w:val="decimal"/>
      <w:lvlText w:val="%1."/>
      <w:lvlJc w:val="left"/>
      <w:pPr>
        <w:ind w:left="1068" w:hanging="360"/>
      </w:pPr>
      <w:rPr>
        <w:rFonts w:hint="default"/>
        <w:b/>
        <w:bCs/>
        <w:i/>
        <w:iCs/>
        <w:sz w:val="28"/>
        <w:szCs w:val="28"/>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15:restartNumberingAfterBreak="0">
    <w:nsid w:val="70C6210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ACB07C5"/>
    <w:multiLevelType w:val="multilevel"/>
    <w:tmpl w:val="1B84E848"/>
    <w:lvl w:ilvl="0">
      <w:start w:val="1"/>
      <w:numFmt w:val="decimal"/>
      <w:lvlText w:val="%1."/>
      <w:lvlJc w:val="left"/>
      <w:pPr>
        <w:ind w:left="360" w:hanging="360"/>
      </w:pPr>
      <w:rPr>
        <w:b/>
        <w:bCs/>
        <w:i/>
        <w:iCs/>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5"/>
  </w:num>
  <w:num w:numId="3">
    <w:abstractNumId w:val="3"/>
  </w:num>
  <w:num w:numId="4">
    <w:abstractNumId w:val="1"/>
  </w:num>
  <w:num w:numId="5">
    <w:abstractNumId w:val="2"/>
  </w:num>
  <w:num w:numId="6">
    <w:abstractNumId w:val="7"/>
  </w:num>
  <w:num w:numId="7">
    <w:abstractNumId w:val="12"/>
  </w:num>
  <w:num w:numId="8">
    <w:abstractNumId w:val="17"/>
  </w:num>
  <w:num w:numId="9">
    <w:abstractNumId w:val="4"/>
  </w:num>
  <w:num w:numId="10">
    <w:abstractNumId w:val="14"/>
  </w:num>
  <w:num w:numId="11">
    <w:abstractNumId w:val="6"/>
  </w:num>
  <w:num w:numId="12">
    <w:abstractNumId w:val="18"/>
  </w:num>
  <w:num w:numId="13">
    <w:abstractNumId w:val="13"/>
  </w:num>
  <w:num w:numId="14">
    <w:abstractNumId w:val="19"/>
  </w:num>
  <w:num w:numId="15">
    <w:abstractNumId w:val="9"/>
  </w:num>
  <w:num w:numId="16">
    <w:abstractNumId w:val="8"/>
  </w:num>
  <w:num w:numId="17">
    <w:abstractNumId w:val="10"/>
  </w:num>
  <w:num w:numId="18">
    <w:abstractNumId w:val="5"/>
  </w:num>
  <w:num w:numId="19">
    <w:abstractNumId w:val="1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23F"/>
    <w:rsid w:val="00023382"/>
    <w:rsid w:val="00032BF6"/>
    <w:rsid w:val="00045EF0"/>
    <w:rsid w:val="00085017"/>
    <w:rsid w:val="000C780D"/>
    <w:rsid w:val="00110B50"/>
    <w:rsid w:val="00147855"/>
    <w:rsid w:val="001B7CE2"/>
    <w:rsid w:val="00221106"/>
    <w:rsid w:val="0027316E"/>
    <w:rsid w:val="002F2B03"/>
    <w:rsid w:val="00312EBF"/>
    <w:rsid w:val="00313014"/>
    <w:rsid w:val="00506109"/>
    <w:rsid w:val="00594B0B"/>
    <w:rsid w:val="005A4418"/>
    <w:rsid w:val="005D4FD5"/>
    <w:rsid w:val="007227AE"/>
    <w:rsid w:val="00740BB0"/>
    <w:rsid w:val="0076567E"/>
    <w:rsid w:val="007D18B5"/>
    <w:rsid w:val="008C5B90"/>
    <w:rsid w:val="008E49D3"/>
    <w:rsid w:val="009C512C"/>
    <w:rsid w:val="00A51FB9"/>
    <w:rsid w:val="00A665A8"/>
    <w:rsid w:val="00A75801"/>
    <w:rsid w:val="00AA6762"/>
    <w:rsid w:val="00AD5239"/>
    <w:rsid w:val="00B1523F"/>
    <w:rsid w:val="00B23710"/>
    <w:rsid w:val="00B545F0"/>
    <w:rsid w:val="00BF440D"/>
    <w:rsid w:val="00C00030"/>
    <w:rsid w:val="00C61CCB"/>
    <w:rsid w:val="00D76446"/>
    <w:rsid w:val="00DD7875"/>
    <w:rsid w:val="00E2359C"/>
    <w:rsid w:val="00E3439F"/>
    <w:rsid w:val="00E371D8"/>
    <w:rsid w:val="00E537C8"/>
    <w:rsid w:val="00E739A6"/>
    <w:rsid w:val="00EC2A0B"/>
    <w:rsid w:val="00F12DC2"/>
    <w:rsid w:val="00F90B64"/>
    <w:rsid w:val="00F948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7B5E8B32-3188-4565-BBC3-383A46BC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5B90"/>
    <w:pPr>
      <w:keepNext/>
      <w:keepLines/>
      <w:spacing w:before="240" w:after="0"/>
      <w:outlineLvl w:val="0"/>
    </w:pPr>
    <w:rPr>
      <w:rFonts w:asciiTheme="majorHAnsi" w:eastAsiaTheme="majorEastAsia" w:hAnsiTheme="majorHAnsi" w:cstheme="majorBidi"/>
      <w:b/>
      <w:color w:val="385623" w:themeColor="accent6" w:themeShade="80"/>
      <w:sz w:val="28"/>
      <w:szCs w:val="32"/>
    </w:rPr>
  </w:style>
  <w:style w:type="paragraph" w:styleId="Titre2">
    <w:name w:val="heading 2"/>
    <w:basedOn w:val="Normal"/>
    <w:next w:val="Normal"/>
    <w:link w:val="Titre2Car"/>
    <w:uiPriority w:val="9"/>
    <w:unhideWhenUsed/>
    <w:qFormat/>
    <w:rsid w:val="008C5B90"/>
    <w:pPr>
      <w:keepNext/>
      <w:keepLines/>
      <w:spacing w:before="40" w:after="0"/>
      <w:outlineLvl w:val="1"/>
    </w:pPr>
    <w:rPr>
      <w:rFonts w:asciiTheme="majorHAnsi" w:eastAsiaTheme="majorEastAsia" w:hAnsiTheme="majorHAnsi" w:cstheme="majorBidi"/>
      <w:b/>
      <w:color w:val="70AD47" w:themeColor="accent6"/>
      <w:sz w:val="24"/>
      <w:szCs w:val="26"/>
    </w:rPr>
  </w:style>
  <w:style w:type="paragraph" w:styleId="Titre3">
    <w:name w:val="heading 3"/>
    <w:basedOn w:val="Normal"/>
    <w:next w:val="Normal"/>
    <w:link w:val="Titre3Car"/>
    <w:uiPriority w:val="9"/>
    <w:unhideWhenUsed/>
    <w:qFormat/>
    <w:rsid w:val="009C512C"/>
    <w:pPr>
      <w:keepNext/>
      <w:keepLines/>
      <w:spacing w:before="40" w:after="0"/>
      <w:outlineLvl w:val="2"/>
    </w:pPr>
    <w:rPr>
      <w:rFonts w:asciiTheme="majorHAnsi" w:eastAsiaTheme="majorEastAsia" w:hAnsiTheme="majorHAnsi" w:cstheme="majorBidi"/>
      <w:b/>
      <w:color w:val="C00000"/>
      <w:sz w:val="24"/>
      <w:szCs w:val="24"/>
    </w:rPr>
  </w:style>
  <w:style w:type="paragraph" w:styleId="Titre4">
    <w:name w:val="heading 4"/>
    <w:basedOn w:val="Normal"/>
    <w:next w:val="Normal"/>
    <w:link w:val="Titre4Car"/>
    <w:uiPriority w:val="9"/>
    <w:unhideWhenUsed/>
    <w:qFormat/>
    <w:rsid w:val="00312EBF"/>
    <w:pPr>
      <w:outlineLvl w:val="3"/>
    </w:pPr>
    <w:rPr>
      <w:b/>
      <w:color w:val="C45911" w:themeColor="accent2"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76446"/>
    <w:pPr>
      <w:tabs>
        <w:tab w:val="center" w:pos="4536"/>
        <w:tab w:val="right" w:pos="9072"/>
      </w:tabs>
      <w:spacing w:after="0" w:line="240" w:lineRule="auto"/>
    </w:pPr>
  </w:style>
  <w:style w:type="character" w:customStyle="1" w:styleId="En-tteCar">
    <w:name w:val="En-tête Car"/>
    <w:basedOn w:val="Policepardfaut"/>
    <w:link w:val="En-tte"/>
    <w:uiPriority w:val="99"/>
    <w:rsid w:val="00D76446"/>
  </w:style>
  <w:style w:type="paragraph" w:styleId="Pieddepage">
    <w:name w:val="footer"/>
    <w:basedOn w:val="Normal"/>
    <w:link w:val="PieddepageCar"/>
    <w:uiPriority w:val="99"/>
    <w:unhideWhenUsed/>
    <w:rsid w:val="00D764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6446"/>
  </w:style>
  <w:style w:type="paragraph" w:customStyle="1" w:styleId="titrecentralafpa">
    <w:name w:val="titre_central_afpa"/>
    <w:basedOn w:val="Normal"/>
    <w:rsid w:val="00147855"/>
    <w:pPr>
      <w:keepNext/>
      <w:overflowPunct w:val="0"/>
      <w:autoSpaceDE w:val="0"/>
      <w:autoSpaceDN w:val="0"/>
      <w:adjustRightInd w:val="0"/>
      <w:spacing w:before="240" w:after="240" w:line="240" w:lineRule="auto"/>
      <w:jc w:val="center"/>
      <w:outlineLvl w:val="0"/>
    </w:pPr>
    <w:rPr>
      <w:rFonts w:ascii="Myriad Pro Black" w:eastAsia="Times New Roman" w:hAnsi="Myriad Pro Black" w:cs="Times New Roman"/>
      <w:b/>
      <w:bCs/>
      <w:color w:val="FF6600"/>
      <w:sz w:val="32"/>
      <w:szCs w:val="20"/>
      <w:lang w:eastAsia="fr-FR"/>
    </w:rPr>
  </w:style>
  <w:style w:type="character" w:styleId="Textedelespacerserv">
    <w:name w:val="Placeholder Text"/>
    <w:basedOn w:val="Policepardfaut"/>
    <w:uiPriority w:val="99"/>
    <w:semiHidden/>
    <w:rsid w:val="008E49D3"/>
    <w:rPr>
      <w:color w:val="808080"/>
    </w:rPr>
  </w:style>
  <w:style w:type="character" w:customStyle="1" w:styleId="Titre2Car">
    <w:name w:val="Titre 2 Car"/>
    <w:basedOn w:val="Policepardfaut"/>
    <w:link w:val="Titre2"/>
    <w:uiPriority w:val="9"/>
    <w:rsid w:val="008C5B90"/>
    <w:rPr>
      <w:rFonts w:asciiTheme="majorHAnsi" w:eastAsiaTheme="majorEastAsia" w:hAnsiTheme="majorHAnsi" w:cstheme="majorBidi"/>
      <w:b/>
      <w:color w:val="70AD47" w:themeColor="accent6"/>
      <w:sz w:val="24"/>
      <w:szCs w:val="26"/>
    </w:rPr>
  </w:style>
  <w:style w:type="character" w:customStyle="1" w:styleId="Titre1Car">
    <w:name w:val="Titre 1 Car"/>
    <w:basedOn w:val="Policepardfaut"/>
    <w:link w:val="Titre1"/>
    <w:uiPriority w:val="9"/>
    <w:rsid w:val="008C5B90"/>
    <w:rPr>
      <w:rFonts w:asciiTheme="majorHAnsi" w:eastAsiaTheme="majorEastAsia" w:hAnsiTheme="majorHAnsi" w:cstheme="majorBidi"/>
      <w:b/>
      <w:color w:val="385623" w:themeColor="accent6" w:themeShade="80"/>
      <w:sz w:val="28"/>
      <w:szCs w:val="32"/>
    </w:rPr>
  </w:style>
  <w:style w:type="paragraph" w:styleId="Textedebulles">
    <w:name w:val="Balloon Text"/>
    <w:basedOn w:val="Normal"/>
    <w:link w:val="TextedebullesCar"/>
    <w:uiPriority w:val="99"/>
    <w:semiHidden/>
    <w:unhideWhenUsed/>
    <w:rsid w:val="008C5B9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5B90"/>
    <w:rPr>
      <w:rFonts w:ascii="Segoe UI" w:hAnsi="Segoe UI" w:cs="Segoe UI"/>
      <w:sz w:val="18"/>
      <w:szCs w:val="18"/>
    </w:rPr>
  </w:style>
  <w:style w:type="character" w:customStyle="1" w:styleId="Titre3Car">
    <w:name w:val="Titre 3 Car"/>
    <w:basedOn w:val="Policepardfaut"/>
    <w:link w:val="Titre3"/>
    <w:uiPriority w:val="9"/>
    <w:rsid w:val="009C512C"/>
    <w:rPr>
      <w:rFonts w:asciiTheme="majorHAnsi" w:eastAsiaTheme="majorEastAsia" w:hAnsiTheme="majorHAnsi" w:cstheme="majorBidi"/>
      <w:b/>
      <w:color w:val="C00000"/>
      <w:sz w:val="24"/>
      <w:szCs w:val="24"/>
    </w:rPr>
  </w:style>
  <w:style w:type="table" w:customStyle="1" w:styleId="CommandeLinux">
    <w:name w:val="Commande Linux"/>
    <w:basedOn w:val="TableauNormal"/>
    <w:uiPriority w:val="99"/>
    <w:rsid w:val="00EC2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EEAF6" w:themeFill="accent5" w:themeFillTint="33"/>
    </w:tcPr>
  </w:style>
  <w:style w:type="paragraph" w:styleId="Paragraphedeliste">
    <w:name w:val="List Paragraph"/>
    <w:basedOn w:val="Normal"/>
    <w:uiPriority w:val="34"/>
    <w:qFormat/>
    <w:rsid w:val="002F2B03"/>
    <w:pPr>
      <w:ind w:left="720"/>
      <w:contextualSpacing/>
    </w:pPr>
  </w:style>
  <w:style w:type="table" w:styleId="Grilledutableau">
    <w:name w:val="Table Grid"/>
    <w:basedOn w:val="TableauNormal"/>
    <w:uiPriority w:val="39"/>
    <w:rsid w:val="00E37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312EBF"/>
    <w:rPr>
      <w:b/>
      <w:color w:val="C45911" w:themeColor="accent2" w:themeShade="BF"/>
    </w:rPr>
  </w:style>
  <w:style w:type="character" w:customStyle="1" w:styleId="fontstyle01">
    <w:name w:val="fontstyle01"/>
    <w:basedOn w:val="Policepardfaut"/>
    <w:rsid w:val="00B1523F"/>
    <w:rPr>
      <w:rFonts w:ascii="Garamond" w:hAnsi="Garamond" w:hint="default"/>
      <w:b/>
      <w:bCs/>
      <w:i w:val="0"/>
      <w:iCs w:val="0"/>
      <w:color w:val="00B050"/>
      <w:sz w:val="40"/>
      <w:szCs w:val="40"/>
    </w:rPr>
  </w:style>
  <w:style w:type="character" w:customStyle="1" w:styleId="lang-en-us">
    <w:name w:val="lang-en-us"/>
    <w:basedOn w:val="Policepardfaut"/>
    <w:rsid w:val="00B1523F"/>
  </w:style>
  <w:style w:type="character" w:customStyle="1" w:styleId="lang-en-gb">
    <w:name w:val="lang-en-gb"/>
    <w:basedOn w:val="Policepardfaut"/>
    <w:rsid w:val="00B1523F"/>
  </w:style>
  <w:style w:type="character" w:styleId="Lienhypertexte">
    <w:name w:val="Hyperlink"/>
    <w:basedOn w:val="Policepardfaut"/>
    <w:uiPriority w:val="99"/>
    <w:unhideWhenUsed/>
    <w:rsid w:val="00B1523F"/>
    <w:rPr>
      <w:color w:val="0000FF"/>
      <w:u w:val="single"/>
    </w:rPr>
  </w:style>
  <w:style w:type="paragraph" w:styleId="NormalWeb">
    <w:name w:val="Normal (Web)"/>
    <w:basedOn w:val="Normal"/>
    <w:uiPriority w:val="99"/>
    <w:unhideWhenUsed/>
    <w:rsid w:val="00B1523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1523F"/>
    <w:rPr>
      <w:b/>
      <w:bCs/>
    </w:rPr>
  </w:style>
  <w:style w:type="character" w:styleId="Mentionnonrsolue">
    <w:name w:val="Unresolved Mention"/>
    <w:basedOn w:val="Policepardfaut"/>
    <w:uiPriority w:val="99"/>
    <w:semiHidden/>
    <w:unhideWhenUsed/>
    <w:rsid w:val="00E73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22136">
      <w:bodyDiv w:val="1"/>
      <w:marLeft w:val="0"/>
      <w:marRight w:val="0"/>
      <w:marTop w:val="0"/>
      <w:marBottom w:val="0"/>
      <w:divBdr>
        <w:top w:val="none" w:sz="0" w:space="0" w:color="auto"/>
        <w:left w:val="none" w:sz="0" w:space="0" w:color="auto"/>
        <w:bottom w:val="none" w:sz="0" w:space="0" w:color="auto"/>
        <w:right w:val="none" w:sz="0" w:space="0" w:color="auto"/>
      </w:divBdr>
    </w:div>
    <w:div w:id="1426002085">
      <w:bodyDiv w:val="1"/>
      <w:marLeft w:val="0"/>
      <w:marRight w:val="0"/>
      <w:marTop w:val="0"/>
      <w:marBottom w:val="0"/>
      <w:divBdr>
        <w:top w:val="none" w:sz="0" w:space="0" w:color="auto"/>
        <w:left w:val="none" w:sz="0" w:space="0" w:color="auto"/>
        <w:bottom w:val="none" w:sz="0" w:space="0" w:color="auto"/>
        <w:right w:val="none" w:sz="0" w:space="0" w:color="auto"/>
      </w:divBdr>
    </w:div>
    <w:div w:id="1690644462">
      <w:bodyDiv w:val="1"/>
      <w:marLeft w:val="0"/>
      <w:marRight w:val="0"/>
      <w:marTop w:val="0"/>
      <w:marBottom w:val="0"/>
      <w:divBdr>
        <w:top w:val="none" w:sz="0" w:space="0" w:color="auto"/>
        <w:left w:val="none" w:sz="0" w:space="0" w:color="auto"/>
        <w:bottom w:val="none" w:sz="0" w:space="0" w:color="auto"/>
        <w:right w:val="none" w:sz="0" w:space="0" w:color="auto"/>
      </w:divBdr>
    </w:div>
    <w:div w:id="1820878501">
      <w:bodyDiv w:val="1"/>
      <w:marLeft w:val="0"/>
      <w:marRight w:val="0"/>
      <w:marTop w:val="0"/>
      <w:marBottom w:val="0"/>
      <w:divBdr>
        <w:top w:val="none" w:sz="0" w:space="0" w:color="auto"/>
        <w:left w:val="none" w:sz="0" w:space="0" w:color="auto"/>
        <w:bottom w:val="none" w:sz="0" w:space="0" w:color="auto"/>
        <w:right w:val="none" w:sz="0" w:space="0" w:color="auto"/>
      </w:divBdr>
    </w:div>
    <w:div w:id="192977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Baie_de_stockage" TargetMode="External"/><Relationship Id="rId18" Type="http://schemas.openxmlformats.org/officeDocument/2006/relationships/hyperlink" Target="https://fr.wikipedia.org/wiki/Redondance_(centre_de_donn%C3%A9es)" TargetMode="External"/><Relationship Id="rId26" Type="http://schemas.openxmlformats.org/officeDocument/2006/relationships/image" Target="media/image3.png"/><Relationship Id="rId39" Type="http://schemas.openxmlformats.org/officeDocument/2006/relationships/hyperlink" Target="https://fr.wikipedia.org/wiki/Fibres_optiques" TargetMode="External"/><Relationship Id="rId21" Type="http://schemas.openxmlformats.org/officeDocument/2006/relationships/hyperlink" Target="https://fr.wikipedia.org/wiki/Entreprise" TargetMode="External"/><Relationship Id="rId34" Type="http://schemas.openxmlformats.org/officeDocument/2006/relationships/image" Target="media/image6.png"/><Relationship Id="rId42" Type="http://schemas.openxmlformats.org/officeDocument/2006/relationships/image" Target="media/image8.png"/><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r.wikipedia.org/wiki/Climatisation" TargetMode="External"/><Relationship Id="rId29" Type="http://schemas.openxmlformats.org/officeDocument/2006/relationships/hyperlink" Target="https://www.lemagit.fr/definition/Network-attached-storage-N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Syst%C3%A8me_d%27information" TargetMode="External"/><Relationship Id="rId24" Type="http://schemas.openxmlformats.org/officeDocument/2006/relationships/hyperlink" Target="https://fr.wikipedia.org/wiki/Donn%C3%A9es_sensibles" TargetMode="External"/><Relationship Id="rId32" Type="http://schemas.openxmlformats.org/officeDocument/2006/relationships/hyperlink" Target="https://www.lemagit.fr/definition/Hyperviseur" TargetMode="External"/><Relationship Id="rId37" Type="http://schemas.openxmlformats.org/officeDocument/2006/relationships/hyperlink" Target="https://fr.wikipedia.org/wiki/Serveur_informatique" TargetMode="External"/><Relationship Id="rId40" Type="http://schemas.openxmlformats.org/officeDocument/2006/relationships/hyperlink" Target="https://fr.wikipedia.org/wiki/Centre_de_donn&#233;e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r.wikipedia.org/wiki/Informatique" TargetMode="External"/><Relationship Id="rId23" Type="http://schemas.openxmlformats.org/officeDocument/2006/relationships/hyperlink" Target="https://fr.wikipedia.org/wiki/Donn%C3%A9es_personnelles" TargetMode="External"/><Relationship Id="rId28" Type="http://schemas.openxmlformats.org/officeDocument/2006/relationships/hyperlink" Target="https://www.lemagit.fr/definition/Storage-Area-Network-SAN" TargetMode="External"/><Relationship Id="rId36" Type="http://schemas.openxmlformats.org/officeDocument/2006/relationships/hyperlink" Target="https://fr.wikipedia.org/wiki/24/7" TargetMode="External"/><Relationship Id="rId10" Type="http://schemas.openxmlformats.org/officeDocument/2006/relationships/hyperlink" Target="https://fr.wikipedia.org/wiki/Centre_de_donn%C3%A9es" TargetMode="External"/><Relationship Id="rId19" Type="http://schemas.openxmlformats.org/officeDocument/2006/relationships/hyperlink" Target="https://fr.wikipedia.org/wiki/Data" TargetMode="External"/><Relationship Id="rId31" Type="http://schemas.openxmlformats.org/officeDocument/2006/relationships/hyperlink" Target="https://www.lemagit.fr/definition/Infrastructure-converge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fr.wikipedia.org/wiki/Centre_de_donn%C3%A9es" TargetMode="External"/><Relationship Id="rId22" Type="http://schemas.openxmlformats.org/officeDocument/2006/relationships/hyperlink" Target="https://fr.wikipedia.org/wiki/Base_de_donn%C3%A9es" TargetMode="External"/><Relationship Id="rId27" Type="http://schemas.openxmlformats.org/officeDocument/2006/relationships/hyperlink" Target="https://www.lemagit.fr/definition/Stockage" TargetMode="External"/><Relationship Id="rId30" Type="http://schemas.openxmlformats.org/officeDocument/2006/relationships/image" Target="media/image4.png"/><Relationship Id="rId35" Type="http://schemas.openxmlformats.org/officeDocument/2006/relationships/hyperlink" Target="https://fr.wikipedia.org/wiki/Climatisation" TargetMode="External"/><Relationship Id="rId43" Type="http://schemas.openxmlformats.org/officeDocument/2006/relationships/header" Target="header1.xml"/><Relationship Id="rId48" Type="http://schemas.openxmlformats.org/officeDocument/2006/relationships/customXml" Target="../customXml/item4.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fr.wikipedia.org/wiki/Ordinateur_central" TargetMode="External"/><Relationship Id="rId17" Type="http://schemas.openxmlformats.org/officeDocument/2006/relationships/hyperlink" Target="https://fr.wikipedia.org/wiki/Incendie" TargetMode="External"/><Relationship Id="rId25" Type="http://schemas.openxmlformats.org/officeDocument/2006/relationships/hyperlink" Target="https://fr.wikipedia.org/wiki/D%C3%A9ni_de_service" TargetMode="External"/><Relationship Id="rId33" Type="http://schemas.openxmlformats.org/officeDocument/2006/relationships/image" Target="media/image5.png"/><Relationship Id="rId38" Type="http://schemas.openxmlformats.org/officeDocument/2006/relationships/hyperlink" Target="https://fr.wikipedia.org/wiki/Ethernet" TargetMode="External"/><Relationship Id="rId46" Type="http://schemas.openxmlformats.org/officeDocument/2006/relationships/customXml" Target="../customXml/item2.xml"/><Relationship Id="rId20" Type="http://schemas.openxmlformats.org/officeDocument/2006/relationships/hyperlink" Target="https://fr.wikipedia.org/wiki/Banque" TargetMode="External"/><Relationship Id="rId4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od&#232;les%20Office%20personnalis&#233;s\Mod&#232;le%20TP%20Sam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1" ma:contentTypeDescription="Crée un document." ma:contentTypeScope="" ma:versionID="316aaf8c301da9f1c2260f11c211e7cc">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836efbe230b5eb234fe164229ed24080"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0237B-AB83-49A6-B0D7-E22EBF160CF1}">
  <ds:schemaRefs>
    <ds:schemaRef ds:uri="http://schemas.openxmlformats.org/officeDocument/2006/bibliography"/>
  </ds:schemaRefs>
</ds:datastoreItem>
</file>

<file path=customXml/itemProps2.xml><?xml version="1.0" encoding="utf-8"?>
<ds:datastoreItem xmlns:ds="http://schemas.openxmlformats.org/officeDocument/2006/customXml" ds:itemID="{74A92163-238F-43A5-B940-4AC9EE9602FD}"/>
</file>

<file path=customXml/itemProps3.xml><?xml version="1.0" encoding="utf-8"?>
<ds:datastoreItem xmlns:ds="http://schemas.openxmlformats.org/officeDocument/2006/customXml" ds:itemID="{4FE48F8D-849F-4805-81BA-B4D427C4E08B}"/>
</file>

<file path=customXml/itemProps4.xml><?xml version="1.0" encoding="utf-8"?>
<ds:datastoreItem xmlns:ds="http://schemas.openxmlformats.org/officeDocument/2006/customXml" ds:itemID="{3B590A19-4018-46F1-83D1-4E422A904E14}"/>
</file>

<file path=docProps/app.xml><?xml version="1.0" encoding="utf-8"?>
<Properties xmlns="http://schemas.openxmlformats.org/officeDocument/2006/extended-properties" xmlns:vt="http://schemas.openxmlformats.org/officeDocument/2006/docPropsVTypes">
  <Template>Modèle TP Sam2.dotx</Template>
  <TotalTime>2</TotalTime>
  <Pages>6</Pages>
  <Words>1286</Words>
  <Characters>7078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TSSR TSSR</dc:creator>
  <cp:keywords/>
  <dc:description/>
  <cp:lastModifiedBy>TSSR</cp:lastModifiedBy>
  <cp:revision>2</cp:revision>
  <cp:lastPrinted>2020-08-17T07:22:00Z</cp:lastPrinted>
  <dcterms:created xsi:type="dcterms:W3CDTF">2020-08-17T07:24:00Z</dcterms:created>
  <dcterms:modified xsi:type="dcterms:W3CDTF">2020-08-17T07:24:00Z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85000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